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029A57" w14:textId="77777777" w:rsidR="00243546" w:rsidRPr="006B1AF2" w:rsidRDefault="00243546" w:rsidP="00243546">
      <w:pPr>
        <w:spacing w:line="240" w:lineRule="auto"/>
        <w:jc w:val="center"/>
        <w:rPr>
          <w:rFonts w:eastAsia="Calibri" w:cs="Times New Roman"/>
          <w:b/>
          <w:szCs w:val="24"/>
        </w:rPr>
      </w:pPr>
      <w:r w:rsidRPr="006B1AF2">
        <w:rPr>
          <w:rFonts w:eastAsia="Calibri" w:cs="Times New Roman"/>
          <w:b/>
          <w:szCs w:val="24"/>
        </w:rPr>
        <w:t>UNITED STATES DISTRICT COURT</w:t>
      </w:r>
    </w:p>
    <w:p w14:paraId="53E7EC4D" w14:textId="77777777" w:rsidR="00243546" w:rsidRPr="006B1AF2" w:rsidRDefault="00243546" w:rsidP="00243546">
      <w:pPr>
        <w:spacing w:line="240" w:lineRule="auto"/>
        <w:jc w:val="center"/>
        <w:rPr>
          <w:rFonts w:eastAsia="Calibri" w:cs="Times New Roman"/>
          <w:b/>
          <w:szCs w:val="24"/>
        </w:rPr>
      </w:pPr>
    </w:p>
    <w:p w14:paraId="036117A6" w14:textId="77777777" w:rsidR="00243546" w:rsidRPr="006B1AF2" w:rsidRDefault="00243546" w:rsidP="00243546">
      <w:pPr>
        <w:spacing w:line="240" w:lineRule="auto"/>
        <w:ind w:left="107"/>
        <w:jc w:val="center"/>
        <w:rPr>
          <w:rFonts w:eastAsia="Times New Roman" w:cs="Times New Roman"/>
          <w:b/>
          <w:szCs w:val="24"/>
        </w:rPr>
      </w:pPr>
      <w:r w:rsidRPr="006B1AF2">
        <w:rPr>
          <w:rFonts w:eastAsia="Calibri" w:cs="Times New Roman"/>
          <w:b/>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243546" w:rsidRPr="00B06967" w14:paraId="05F0444B" w14:textId="77777777" w:rsidTr="00F857E6">
        <w:tc>
          <w:tcPr>
            <w:tcW w:w="4788" w:type="dxa"/>
            <w:tcBorders>
              <w:bottom w:val="single" w:sz="4" w:space="0" w:color="auto"/>
            </w:tcBorders>
          </w:tcPr>
          <w:p w14:paraId="3ED4EE55" w14:textId="77777777" w:rsidR="00243546" w:rsidRPr="00B06967" w:rsidRDefault="00243546" w:rsidP="00B7579B">
            <w:pPr>
              <w:spacing w:line="240" w:lineRule="auto"/>
              <w:rPr>
                <w:rFonts w:eastAsia="Calibri"/>
              </w:rPr>
            </w:pPr>
          </w:p>
        </w:tc>
        <w:tc>
          <w:tcPr>
            <w:tcW w:w="4788" w:type="dxa"/>
            <w:tcBorders>
              <w:bottom w:val="single" w:sz="4" w:space="0" w:color="auto"/>
            </w:tcBorders>
          </w:tcPr>
          <w:p w14:paraId="09C8011C" w14:textId="77777777" w:rsidR="00243546" w:rsidRPr="00B06967" w:rsidRDefault="00243546" w:rsidP="00B7579B">
            <w:pPr>
              <w:spacing w:line="240" w:lineRule="auto"/>
              <w:rPr>
                <w:rFonts w:eastAsia="Calibri"/>
              </w:rPr>
            </w:pPr>
          </w:p>
          <w:p w14:paraId="58DF348F" w14:textId="77777777" w:rsidR="00243546" w:rsidRPr="00B06967" w:rsidRDefault="00243546" w:rsidP="00B7579B">
            <w:pPr>
              <w:spacing w:line="240" w:lineRule="auto"/>
              <w:jc w:val="right"/>
              <w:rPr>
                <w:rFonts w:eastAsia="Calibri"/>
              </w:rPr>
            </w:pPr>
          </w:p>
        </w:tc>
      </w:tr>
      <w:tr w:rsidR="00243546" w:rsidRPr="00B06967" w14:paraId="36822D27" w14:textId="77777777" w:rsidTr="00F857E6">
        <w:tc>
          <w:tcPr>
            <w:tcW w:w="4788" w:type="dxa"/>
            <w:tcBorders>
              <w:top w:val="single" w:sz="4" w:space="0" w:color="auto"/>
              <w:bottom w:val="single" w:sz="4" w:space="0" w:color="auto"/>
              <w:right w:val="single" w:sz="4" w:space="0" w:color="auto"/>
            </w:tcBorders>
          </w:tcPr>
          <w:p w14:paraId="6D78ABC3" w14:textId="77777777" w:rsidR="00243546" w:rsidRPr="00B06967" w:rsidRDefault="00243546" w:rsidP="00B7579B">
            <w:pPr>
              <w:spacing w:line="240" w:lineRule="auto"/>
              <w:rPr>
                <w:rFonts w:eastAsia="Calibri"/>
              </w:rPr>
            </w:pPr>
          </w:p>
          <w:p w14:paraId="496252B9" w14:textId="77777777" w:rsidR="00243546" w:rsidRPr="00B06967" w:rsidRDefault="00243546" w:rsidP="00B7579B">
            <w:pPr>
              <w:spacing w:line="240" w:lineRule="auto"/>
              <w:rPr>
                <w:rFonts w:eastAsia="Calibri"/>
              </w:rPr>
            </w:pPr>
            <w:r>
              <w:rPr>
                <w:rFonts w:eastAsia="Calibri"/>
              </w:rPr>
              <w:t>OGS TV, INC.</w:t>
            </w:r>
          </w:p>
          <w:p w14:paraId="5C0C58D9" w14:textId="77777777" w:rsidR="00243546" w:rsidRPr="00B06967" w:rsidRDefault="00243546" w:rsidP="00B7579B">
            <w:pPr>
              <w:spacing w:line="240" w:lineRule="auto"/>
              <w:rPr>
                <w:rFonts w:eastAsia="Calibri"/>
              </w:rPr>
            </w:pPr>
          </w:p>
          <w:p w14:paraId="60B96E46" w14:textId="1F8438D7" w:rsidR="00243546" w:rsidRPr="00B06967" w:rsidRDefault="002A6C5A" w:rsidP="00B7579B">
            <w:pPr>
              <w:spacing w:line="240" w:lineRule="auto"/>
              <w:ind w:left="2880"/>
              <w:rPr>
                <w:rFonts w:eastAsia="Calibri"/>
              </w:rPr>
            </w:pPr>
            <w:r>
              <w:rPr>
                <w:rFonts w:eastAsia="Calibri"/>
              </w:rPr>
              <w:t>Plaintiff</w:t>
            </w:r>
            <w:r w:rsidR="00243546" w:rsidRPr="00B06967">
              <w:rPr>
                <w:rFonts w:eastAsia="Calibri"/>
              </w:rPr>
              <w:t>,</w:t>
            </w:r>
          </w:p>
          <w:p w14:paraId="44C84D6B" w14:textId="77777777" w:rsidR="00243546" w:rsidRPr="00B06967" w:rsidRDefault="00243546" w:rsidP="00B7579B">
            <w:pPr>
              <w:spacing w:line="240" w:lineRule="auto"/>
              <w:rPr>
                <w:rFonts w:eastAsia="Calibri"/>
              </w:rPr>
            </w:pPr>
          </w:p>
          <w:p w14:paraId="534EE17B" w14:textId="77777777" w:rsidR="00243546" w:rsidRPr="00B06967" w:rsidRDefault="00243546" w:rsidP="00B7579B">
            <w:pPr>
              <w:spacing w:line="240" w:lineRule="auto"/>
              <w:rPr>
                <w:rFonts w:eastAsia="Calibri"/>
              </w:rPr>
            </w:pPr>
            <w:r w:rsidRPr="00B06967">
              <w:rPr>
                <w:rFonts w:eastAsia="Calibri"/>
              </w:rPr>
              <w:t>vs.</w:t>
            </w:r>
          </w:p>
          <w:p w14:paraId="142CFCD5" w14:textId="77777777" w:rsidR="00243546" w:rsidRPr="00B06967" w:rsidRDefault="00243546" w:rsidP="00B7579B">
            <w:pPr>
              <w:spacing w:line="240" w:lineRule="auto"/>
              <w:rPr>
                <w:rFonts w:eastAsia="Calibri"/>
              </w:rPr>
            </w:pPr>
          </w:p>
          <w:p w14:paraId="1CEC465B" w14:textId="77777777" w:rsidR="00243546" w:rsidRPr="00B06967" w:rsidRDefault="00243546" w:rsidP="00B7579B">
            <w:pPr>
              <w:spacing w:line="240" w:lineRule="auto"/>
              <w:rPr>
                <w:rFonts w:eastAsia="Calibri"/>
              </w:rPr>
            </w:pPr>
            <w:r>
              <w:rPr>
                <w:rFonts w:eastAsia="Calibri"/>
              </w:rPr>
              <w:t xml:space="preserve">Elizabeth Lime, and </w:t>
            </w:r>
            <w:proofErr w:type="spellStart"/>
            <w:r>
              <w:rPr>
                <w:rFonts w:eastAsia="Calibri"/>
              </w:rPr>
              <w:t>TinyTV</w:t>
            </w:r>
            <w:proofErr w:type="spellEnd"/>
            <w:r>
              <w:rPr>
                <w:rFonts w:eastAsia="Calibri"/>
              </w:rPr>
              <w:t>, Inc.</w:t>
            </w:r>
          </w:p>
          <w:p w14:paraId="2F53D5C5" w14:textId="77777777" w:rsidR="00243546" w:rsidRPr="00B06967" w:rsidRDefault="00243546" w:rsidP="00B7579B">
            <w:pPr>
              <w:spacing w:line="240" w:lineRule="auto"/>
              <w:rPr>
                <w:rFonts w:eastAsia="Calibri"/>
              </w:rPr>
            </w:pPr>
          </w:p>
          <w:p w14:paraId="3E3CAFB2" w14:textId="30EE9478" w:rsidR="00243546" w:rsidRPr="00B06967" w:rsidRDefault="002A6C5A" w:rsidP="00B7579B">
            <w:pPr>
              <w:spacing w:line="240" w:lineRule="auto"/>
              <w:ind w:left="2880"/>
              <w:rPr>
                <w:rFonts w:eastAsia="Calibri"/>
              </w:rPr>
            </w:pPr>
            <w:r>
              <w:rPr>
                <w:rFonts w:eastAsia="Calibri"/>
              </w:rPr>
              <w:t>Defendant</w:t>
            </w:r>
            <w:r w:rsidR="00243546" w:rsidRPr="00B06967">
              <w:rPr>
                <w:rFonts w:eastAsia="Calibri"/>
              </w:rPr>
              <w:t>s.</w:t>
            </w:r>
          </w:p>
          <w:p w14:paraId="392D244B" w14:textId="77777777" w:rsidR="00243546" w:rsidRPr="00B06967" w:rsidRDefault="00243546" w:rsidP="00B7579B">
            <w:pPr>
              <w:spacing w:line="240" w:lineRule="auto"/>
              <w:rPr>
                <w:rFonts w:eastAsia="Calibri"/>
              </w:rPr>
            </w:pPr>
          </w:p>
        </w:tc>
        <w:tc>
          <w:tcPr>
            <w:tcW w:w="4788" w:type="dxa"/>
            <w:tcBorders>
              <w:top w:val="single" w:sz="4" w:space="0" w:color="auto"/>
              <w:left w:val="single" w:sz="4" w:space="0" w:color="auto"/>
            </w:tcBorders>
            <w:vAlign w:val="center"/>
          </w:tcPr>
          <w:p w14:paraId="13D628EA" w14:textId="77777777" w:rsidR="00243546" w:rsidRPr="00B06967" w:rsidRDefault="00243546" w:rsidP="00B7579B">
            <w:pPr>
              <w:spacing w:line="240" w:lineRule="auto"/>
              <w:jc w:val="right"/>
              <w:rPr>
                <w:rFonts w:eastAsia="Calibri"/>
              </w:rPr>
            </w:pPr>
            <w:r>
              <w:rPr>
                <w:rFonts w:eastAsia="Calibri"/>
              </w:rPr>
              <w:t>Court File No. 27-CV-12</w:t>
            </w:r>
            <w:r w:rsidRPr="00B06967">
              <w:rPr>
                <w:rFonts w:eastAsia="Calibri"/>
              </w:rPr>
              <w:t>-1234</w:t>
            </w:r>
          </w:p>
          <w:p w14:paraId="19EC606B" w14:textId="77777777" w:rsidR="00243546" w:rsidRPr="00B06967" w:rsidRDefault="00243546" w:rsidP="00B7579B">
            <w:pPr>
              <w:spacing w:line="240" w:lineRule="auto"/>
              <w:jc w:val="right"/>
              <w:rPr>
                <w:rFonts w:eastAsia="Calibri"/>
              </w:rPr>
            </w:pPr>
          </w:p>
          <w:p w14:paraId="1C3BA052" w14:textId="7F353AA7" w:rsidR="00243546" w:rsidRPr="00B06967" w:rsidRDefault="00257434" w:rsidP="00B7579B">
            <w:pPr>
              <w:spacing w:line="240" w:lineRule="auto"/>
              <w:jc w:val="right"/>
              <w:rPr>
                <w:rFonts w:eastAsia="Calibri"/>
                <w:b/>
              </w:rPr>
            </w:pPr>
            <w:r>
              <w:rPr>
                <w:rFonts w:eastAsia="Calibri"/>
                <w:b/>
              </w:rPr>
              <w:t xml:space="preserve">MEMORANDUM IN FAVOR OF </w:t>
            </w:r>
            <w:r w:rsidR="002A6C5A">
              <w:rPr>
                <w:rFonts w:eastAsia="Calibri"/>
                <w:b/>
              </w:rPr>
              <w:t>DEFENDANT</w:t>
            </w:r>
            <w:r>
              <w:rPr>
                <w:rFonts w:eastAsia="Calibri"/>
                <w:b/>
              </w:rPr>
              <w:t>’S MOTION TO DISMISS</w:t>
            </w:r>
          </w:p>
        </w:tc>
      </w:tr>
    </w:tbl>
    <w:p w14:paraId="3B0AEFF5" w14:textId="77777777" w:rsidR="00243546" w:rsidRPr="00B06967" w:rsidRDefault="00243546" w:rsidP="00243546">
      <w:pPr>
        <w:spacing w:line="240" w:lineRule="auto"/>
        <w:ind w:left="107"/>
        <w:rPr>
          <w:rFonts w:eastAsia="Times New Roman" w:cs="Times New Roman"/>
          <w:szCs w:val="24"/>
        </w:rPr>
      </w:pPr>
      <w:r w:rsidRPr="00B06967">
        <w:rPr>
          <w:rFonts w:eastAsia="Times New Roman" w:cs="Times New Roman"/>
          <w:szCs w:val="24"/>
        </w:rPr>
        <w:t> </w:t>
      </w:r>
    </w:p>
    <w:p w14:paraId="2DA46C16" w14:textId="77777777" w:rsidR="00197308" w:rsidRDefault="00E149D7" w:rsidP="00243546">
      <w:pPr>
        <w:jc w:val="center"/>
        <w:rPr>
          <w:b/>
        </w:rPr>
      </w:pPr>
      <w:r>
        <w:rPr>
          <w:b/>
        </w:rPr>
        <w:t>INTRODUCTION</w:t>
      </w:r>
    </w:p>
    <w:p w14:paraId="17D358EB" w14:textId="3746D8FE" w:rsidR="00243546" w:rsidRPr="00D63BA6" w:rsidRDefault="00D63BA6" w:rsidP="008B2182">
      <w:r>
        <w:tab/>
        <w:t xml:space="preserve">The dispute between OGS TV, creator and producer of the television series </w:t>
      </w:r>
      <w:r>
        <w:rPr>
          <w:i/>
        </w:rPr>
        <w:t>Lawless Love</w:t>
      </w:r>
      <w:r>
        <w:t xml:space="preserve">, and </w:t>
      </w:r>
      <w:r w:rsidR="002A6C5A">
        <w:t>Defendant</w:t>
      </w:r>
      <w:r>
        <w:t xml:space="preserve"> Elizabeth Lime, a well-known and experienced television writer, concerns the screenplay for an episode that Lime initially submitted to OGS</w:t>
      </w:r>
      <w:r w:rsidR="00E74326">
        <w:t xml:space="preserve"> for use on </w:t>
      </w:r>
      <w:r w:rsidR="00E74326">
        <w:rPr>
          <w:i/>
        </w:rPr>
        <w:t>Lawless Love</w:t>
      </w:r>
      <w:r>
        <w:t xml:space="preserve"> and then later used on the television show </w:t>
      </w:r>
      <w:r w:rsidR="00823F85">
        <w:rPr>
          <w:i/>
        </w:rPr>
        <w:t>The Tin</w:t>
      </w:r>
      <w:r>
        <w:rPr>
          <w:i/>
        </w:rPr>
        <w:t xml:space="preserve"> Can</w:t>
      </w:r>
      <w:r>
        <w:t xml:space="preserve">. </w:t>
      </w:r>
      <w:r w:rsidR="002A6C5A">
        <w:t>Plaintiff</w:t>
      </w:r>
      <w:r>
        <w:t xml:space="preserve">’s claim that the screenplay was created pursuant to a </w:t>
      </w:r>
      <w:r w:rsidR="00BF2D28">
        <w:t>work made for hire</w:t>
      </w:r>
      <w:r>
        <w:t xml:space="preserve"> agreement is without merit, because there was no written agreement in place when Lime submitted the screenplay to OGS, as required by the </w:t>
      </w:r>
      <w:r w:rsidR="000040FC">
        <w:t>F</w:t>
      </w:r>
      <w:r>
        <w:t xml:space="preserve">ederal Copyright Act of 1976. </w:t>
      </w:r>
      <w:r w:rsidR="0028299B">
        <w:t>A plain reading of the statutory language</w:t>
      </w:r>
      <w:r w:rsidR="005540EE">
        <w:t>,</w:t>
      </w:r>
      <w:r w:rsidR="0028299B">
        <w:t xml:space="preserve"> </w:t>
      </w:r>
      <w:r w:rsidR="005540EE">
        <w:t xml:space="preserve">in particular the use of the word “shall” when discussing what the writing should state, suggests that the </w:t>
      </w:r>
      <w:r w:rsidR="00A42758">
        <w:t xml:space="preserve">writing must be </w:t>
      </w:r>
      <w:r w:rsidR="005540EE">
        <w:t>executed before the work is created.</w:t>
      </w:r>
      <w:r w:rsidR="0028299B">
        <w:t xml:space="preserve"> </w:t>
      </w:r>
      <w:r w:rsidR="005540EE">
        <w:t>In addition,</w:t>
      </w:r>
      <w:r w:rsidR="0028299B">
        <w:t xml:space="preserve"> potential redundancies with other provisions under </w:t>
      </w:r>
      <w:r w:rsidR="002A6C5A">
        <w:t>Plaintiff</w:t>
      </w:r>
      <w:r w:rsidR="0028299B">
        <w:t>’s interpretation</w:t>
      </w:r>
      <w:r w:rsidR="005540EE">
        <w:t xml:space="preserve"> show that Congress intended for the writing to be signed pre-creation</w:t>
      </w:r>
      <w:r w:rsidR="0028299B">
        <w:t xml:space="preserve">. Furthermore, </w:t>
      </w:r>
      <w:r w:rsidR="00102E6E">
        <w:t>w</w:t>
      </w:r>
      <w:r w:rsidR="00F7462D">
        <w:t xml:space="preserve">e have a clear statement in the Congressional record by an official with an intimate knowledge of the drafting process supporting Defendant’s interpretation. </w:t>
      </w:r>
      <w:r w:rsidR="00102E6E">
        <w:t xml:space="preserve">This </w:t>
      </w:r>
      <w:r w:rsidR="00A42758">
        <w:t>interpretation</w:t>
      </w:r>
      <w:r w:rsidR="00102E6E">
        <w:t xml:space="preserve"> advances </w:t>
      </w:r>
      <w:r w:rsidR="00F7462D">
        <w:t>Congress’ goals</w:t>
      </w:r>
      <w:r w:rsidR="0028299B">
        <w:t xml:space="preserve"> </w:t>
      </w:r>
      <w:r w:rsidR="00F7462D">
        <w:t xml:space="preserve">of </w:t>
      </w:r>
      <w:r w:rsidR="0028299B">
        <w:t>avoid</w:t>
      </w:r>
      <w:r w:rsidR="00F7462D">
        <w:t>ing</w:t>
      </w:r>
      <w:r w:rsidR="0028299B">
        <w:t xml:space="preserve"> uncertainty of ownership and </w:t>
      </w:r>
      <w:r w:rsidR="00F7462D">
        <w:t>ensuring</w:t>
      </w:r>
      <w:r w:rsidR="0028299B">
        <w:t xml:space="preserve"> that the </w:t>
      </w:r>
      <w:r w:rsidR="007A6AEF">
        <w:t xml:space="preserve">work is readily marketable. </w:t>
      </w:r>
      <w:r w:rsidR="00EE4B12">
        <w:t xml:space="preserve">Finally, </w:t>
      </w:r>
      <w:r w:rsidR="008B2182">
        <w:t xml:space="preserve">Congress intended to establish a bright line rule </w:t>
      </w:r>
      <w:r w:rsidR="00D346B1">
        <w:t xml:space="preserve">for this </w:t>
      </w:r>
      <w:r w:rsidR="00D346B1">
        <w:lastRenderedPageBreak/>
        <w:t>provision</w:t>
      </w:r>
      <w:r w:rsidR="008B2182">
        <w:t xml:space="preserve">, </w:t>
      </w:r>
      <w:r w:rsidR="00D346B1">
        <w:t xml:space="preserve">and the court should reject </w:t>
      </w:r>
      <w:r w:rsidR="002A6C5A">
        <w:t>Plaintiff</w:t>
      </w:r>
      <w:r w:rsidR="00D346B1">
        <w:t xml:space="preserve">’s interpretation because it would require a cumbersome </w:t>
      </w:r>
      <w:r w:rsidR="002A6C5A">
        <w:t xml:space="preserve">and costly </w:t>
      </w:r>
      <w:r w:rsidR="00D346B1">
        <w:t>case-by-case analysis</w:t>
      </w:r>
      <w:r w:rsidR="00664C7E">
        <w:t xml:space="preserve"> and disproportionately hurt authors</w:t>
      </w:r>
      <w:r w:rsidR="00D346B1">
        <w:t xml:space="preserve">. </w:t>
      </w:r>
      <w:r>
        <w:t xml:space="preserve">Therefore, the court should </w:t>
      </w:r>
      <w:r w:rsidR="002A6C5A">
        <w:t xml:space="preserve">accept Defendant’s interpretation of the statute and </w:t>
      </w:r>
      <w:r>
        <w:t xml:space="preserve">grant </w:t>
      </w:r>
      <w:r w:rsidR="002A6C5A">
        <w:t>Defendant</w:t>
      </w:r>
      <w:r>
        <w:t xml:space="preserve">’s </w:t>
      </w:r>
      <w:r w:rsidR="00DB5865">
        <w:t>motion to dismiss</w:t>
      </w:r>
      <w:r w:rsidR="00E74326" w:rsidRPr="00E74326">
        <w:t>.</w:t>
      </w:r>
    </w:p>
    <w:p w14:paraId="289FC3C2" w14:textId="77777777" w:rsidR="00243546" w:rsidRDefault="00E149D7" w:rsidP="00243546">
      <w:pPr>
        <w:jc w:val="center"/>
        <w:rPr>
          <w:b/>
        </w:rPr>
      </w:pPr>
      <w:r>
        <w:rPr>
          <w:b/>
        </w:rPr>
        <w:t>FACTS</w:t>
      </w:r>
    </w:p>
    <w:p w14:paraId="1425B934" w14:textId="63C00652" w:rsidR="00243546" w:rsidRPr="00D70292" w:rsidRDefault="00243546" w:rsidP="00243546">
      <w:r>
        <w:tab/>
      </w:r>
      <w:r w:rsidR="00B90A3A">
        <w:t>Dave Nelson</w:t>
      </w:r>
      <w:r w:rsidR="00D776EB">
        <w:t xml:space="preserve">, executive producer of </w:t>
      </w:r>
      <w:r w:rsidR="00D776EB">
        <w:rPr>
          <w:i/>
        </w:rPr>
        <w:t>Lawless Love</w:t>
      </w:r>
      <w:r w:rsidR="00D776EB">
        <w:t xml:space="preserve"> and an employee and agent of OGS TV, met with</w:t>
      </w:r>
      <w:r w:rsidR="00B90A3A">
        <w:t xml:space="preserve"> </w:t>
      </w:r>
      <w:r>
        <w:t xml:space="preserve">Elizabeth Lime </w:t>
      </w:r>
      <w:r w:rsidR="00D776EB">
        <w:t xml:space="preserve">in OGS’s office on </w:t>
      </w:r>
      <w:r>
        <w:t>March 27, 2010 to discuss the possibility of Lime writing an episode for</w:t>
      </w:r>
      <w:r w:rsidR="00D2062C">
        <w:t xml:space="preserve"> the television show</w:t>
      </w:r>
      <w:r>
        <w:t xml:space="preserve"> </w:t>
      </w:r>
      <w:r>
        <w:rPr>
          <w:i/>
        </w:rPr>
        <w:t>Lawless Love</w:t>
      </w:r>
      <w:r>
        <w:t xml:space="preserve">. </w:t>
      </w:r>
      <w:proofErr w:type="spellStart"/>
      <w:r w:rsidR="00175766">
        <w:t>Compl</w:t>
      </w:r>
      <w:proofErr w:type="spellEnd"/>
      <w:r w:rsidR="00175766">
        <w:t xml:space="preserve">. </w:t>
      </w:r>
      <w:r w:rsidR="00175766">
        <w:rPr>
          <w:rFonts w:cs="Times New Roman"/>
        </w:rPr>
        <w:t>¶</w:t>
      </w:r>
      <w:r w:rsidR="00175766">
        <w:t xml:space="preserve"> 9.  </w:t>
      </w:r>
      <w:r w:rsidR="00D776EB">
        <w:t xml:space="preserve">During that meeting, Lime and Nelson orally agreed that Lime would write a screenplay for the show by April 1, 2010 and be paid $6,000. </w:t>
      </w:r>
      <w:proofErr w:type="gramStart"/>
      <w:r w:rsidR="00175766">
        <w:rPr>
          <w:i/>
        </w:rPr>
        <w:t>Id</w:t>
      </w:r>
      <w:r w:rsidR="00175766" w:rsidRPr="0088666E">
        <w:rPr>
          <w:i/>
        </w:rPr>
        <w:t>.</w:t>
      </w:r>
      <w:r w:rsidR="00175766">
        <w:t xml:space="preserve"> ¶¶ 13,</w:t>
      </w:r>
      <w:r w:rsidR="00175766">
        <w:rPr>
          <w:i/>
        </w:rPr>
        <w:t xml:space="preserve"> </w:t>
      </w:r>
      <w:r w:rsidR="00175766">
        <w:t>15.</w:t>
      </w:r>
      <w:proofErr w:type="gramEnd"/>
      <w:r w:rsidR="00175766">
        <w:t xml:space="preserve"> </w:t>
      </w:r>
      <w:r w:rsidR="00D776EB">
        <w:t>Nelson asked Lime whether she understood and consented that her work on the screenplay would be “for hire” and that OGS would be the author, and Lime answered</w:t>
      </w:r>
      <w:r w:rsidR="00D2062C">
        <w:t xml:space="preserve"> “yes.</w:t>
      </w:r>
      <w:r w:rsidR="00D776EB">
        <w:t>”</w:t>
      </w:r>
      <w:r w:rsidR="00D2062C">
        <w:t xml:space="preserve"> </w:t>
      </w:r>
      <w:proofErr w:type="gramStart"/>
      <w:r w:rsidR="00D2062C">
        <w:rPr>
          <w:i/>
        </w:rPr>
        <w:t>Id</w:t>
      </w:r>
      <w:r w:rsidR="00D2062C" w:rsidRPr="0088666E">
        <w:rPr>
          <w:i/>
        </w:rPr>
        <w:t>.</w:t>
      </w:r>
      <w:r w:rsidR="00D2062C">
        <w:t xml:space="preserve"> ¶ 16, 17.</w:t>
      </w:r>
      <w:proofErr w:type="gramEnd"/>
      <w:r w:rsidR="00D2062C">
        <w:t xml:space="preserve"> However,</w:t>
      </w:r>
      <w:r w:rsidR="00D776EB">
        <w:t xml:space="preserve"> </w:t>
      </w:r>
      <w:r w:rsidR="002A2E55">
        <w:t xml:space="preserve">Lime </w:t>
      </w:r>
      <w:r w:rsidR="00D2062C">
        <w:t xml:space="preserve">was not provided with and </w:t>
      </w:r>
      <w:r w:rsidR="002A2E55">
        <w:t>did not sign any</w:t>
      </w:r>
      <w:r w:rsidR="00D776EB">
        <w:t xml:space="preserve"> written </w:t>
      </w:r>
      <w:r w:rsidR="00BF2D28">
        <w:t>work made for hire</w:t>
      </w:r>
      <w:r w:rsidR="00D2062C">
        <w:t xml:space="preserve"> </w:t>
      </w:r>
      <w:r w:rsidR="00D776EB">
        <w:t>agreement during the meeting</w:t>
      </w:r>
      <w:r w:rsidR="00FA5604">
        <w:t>.</w:t>
      </w:r>
      <w:r w:rsidR="00D776EB">
        <w:t xml:space="preserve"> </w:t>
      </w:r>
      <w:r w:rsidR="007C7069">
        <w:t xml:space="preserve">Lime submitted </w:t>
      </w:r>
      <w:r w:rsidR="00754D6E">
        <w:t>her</w:t>
      </w:r>
      <w:r w:rsidR="007C7069">
        <w:t xml:space="preserve"> screenplay </w:t>
      </w:r>
      <w:r w:rsidR="00160055">
        <w:t xml:space="preserve">entitled “Anticipatory Repudiation” </w:t>
      </w:r>
      <w:r w:rsidR="007C7069">
        <w:t>on April 1, 2010</w:t>
      </w:r>
      <w:r w:rsidR="00175766">
        <w:t xml:space="preserve">, and OGS secured the exclusive rights to the screenplay with the Register of Copyrights on April 2, 2010, despite the fact that they had not complied with the writing requirement of the </w:t>
      </w:r>
      <w:r w:rsidR="00BF2D28">
        <w:t>work made for hire</w:t>
      </w:r>
      <w:r w:rsidR="00175766">
        <w:t xml:space="preserve"> provision</w:t>
      </w:r>
      <w:r w:rsidR="008228C8">
        <w:t xml:space="preserve"> of the statute</w:t>
      </w:r>
      <w:r w:rsidR="007C7069">
        <w:t xml:space="preserve">. </w:t>
      </w:r>
      <w:proofErr w:type="gramStart"/>
      <w:r w:rsidR="005E658A">
        <w:rPr>
          <w:i/>
        </w:rPr>
        <w:t>Id</w:t>
      </w:r>
      <w:r w:rsidR="00175766" w:rsidRPr="0088666E">
        <w:rPr>
          <w:i/>
        </w:rPr>
        <w:t xml:space="preserve">. </w:t>
      </w:r>
      <w:r w:rsidR="00175766">
        <w:t>¶¶ 21, 22.</w:t>
      </w:r>
      <w:proofErr w:type="gramEnd"/>
      <w:r w:rsidR="00175766">
        <w:t xml:space="preserve"> Four</w:t>
      </w:r>
      <w:r w:rsidR="007C7069">
        <w:t xml:space="preserve"> days later, on April 6, 2010, Lime went to OGS’s office to receive her $6,000. </w:t>
      </w:r>
      <w:proofErr w:type="gramStart"/>
      <w:r w:rsidR="00D70292">
        <w:rPr>
          <w:i/>
        </w:rPr>
        <w:t>Id</w:t>
      </w:r>
      <w:r w:rsidR="0088666E" w:rsidRPr="0088666E">
        <w:rPr>
          <w:i/>
        </w:rPr>
        <w:t>.</w:t>
      </w:r>
      <w:r w:rsidR="00D70292">
        <w:t xml:space="preserve"> ¶ 24.</w:t>
      </w:r>
      <w:proofErr w:type="gramEnd"/>
      <w:r w:rsidR="00D70292">
        <w:rPr>
          <w:i/>
        </w:rPr>
        <w:t xml:space="preserve"> </w:t>
      </w:r>
      <w:r w:rsidR="007C7069">
        <w:t xml:space="preserve">While she was there, she signed a document </w:t>
      </w:r>
      <w:r w:rsidR="00C710BA">
        <w:t>labeled</w:t>
      </w:r>
      <w:r w:rsidR="00D70292">
        <w:t xml:space="preserve"> “</w:t>
      </w:r>
      <w:r w:rsidR="00BF2D28">
        <w:t>Work made for hire</w:t>
      </w:r>
      <w:r w:rsidR="00D70292">
        <w:t xml:space="preserve"> Agreement,</w:t>
      </w:r>
      <w:r w:rsidR="007C7069">
        <w:t>”</w:t>
      </w:r>
      <w:r w:rsidR="00D70292">
        <w:t xml:space="preserve"> and</w:t>
      </w:r>
      <w:r w:rsidR="007C7069">
        <w:t xml:space="preserve"> Dave Nelson signed that agreement the same day. </w:t>
      </w:r>
      <w:proofErr w:type="gramStart"/>
      <w:r w:rsidR="00D70292">
        <w:rPr>
          <w:i/>
        </w:rPr>
        <w:t>Id</w:t>
      </w:r>
      <w:r w:rsidR="0088666E">
        <w:rPr>
          <w:i/>
        </w:rPr>
        <w:t>.</w:t>
      </w:r>
      <w:r w:rsidR="00D70292">
        <w:t xml:space="preserve"> ¶ 24, 25.</w:t>
      </w:r>
      <w:proofErr w:type="gramEnd"/>
    </w:p>
    <w:p w14:paraId="063EBD8F" w14:textId="77777777" w:rsidR="00451474" w:rsidRDefault="00451474" w:rsidP="00243546">
      <w:r>
        <w:tab/>
      </w:r>
      <w:r w:rsidR="000657CD">
        <w:t xml:space="preserve">The spring television season ended on June 1, 2010, and Lime called Nelson to ask why </w:t>
      </w:r>
      <w:r w:rsidR="00823F85">
        <w:rPr>
          <w:i/>
        </w:rPr>
        <w:t>Lawless Love</w:t>
      </w:r>
      <w:r w:rsidR="00823F85">
        <w:t xml:space="preserve"> had not used her screenplay. </w:t>
      </w:r>
      <w:proofErr w:type="gramStart"/>
      <w:r w:rsidR="00D2062C">
        <w:rPr>
          <w:i/>
        </w:rPr>
        <w:t>Id</w:t>
      </w:r>
      <w:r w:rsidR="0088666E">
        <w:rPr>
          <w:i/>
        </w:rPr>
        <w:t>.</w:t>
      </w:r>
      <w:r w:rsidR="00D2062C">
        <w:t xml:space="preserve"> ¶ 26.</w:t>
      </w:r>
      <w:proofErr w:type="gramEnd"/>
      <w:r w:rsidR="00D2062C">
        <w:t xml:space="preserve"> </w:t>
      </w:r>
      <w:r w:rsidR="00823F85">
        <w:t xml:space="preserve">Nelson told her that “the executives were not happy with the quality of the screenplay, and that the story did not fit the theme of the show.” </w:t>
      </w:r>
      <w:r w:rsidR="00D2062C">
        <w:rPr>
          <w:i/>
        </w:rPr>
        <w:t>Id</w:t>
      </w:r>
      <w:r w:rsidR="00D2062C">
        <w:t xml:space="preserve">. </w:t>
      </w:r>
      <w:r w:rsidR="00823F85">
        <w:t xml:space="preserve">He particularly mentioned a submarine chase sequence that would have been too expensive and </w:t>
      </w:r>
      <w:r w:rsidR="00D2062C">
        <w:lastRenderedPageBreak/>
        <w:t xml:space="preserve">was “wrong for </w:t>
      </w:r>
      <w:r w:rsidR="00D2062C">
        <w:rPr>
          <w:i/>
        </w:rPr>
        <w:t>Lawless Love</w:t>
      </w:r>
      <w:r w:rsidR="00823F85">
        <w:t>.</w:t>
      </w:r>
      <w:r w:rsidR="00D2062C">
        <w:t xml:space="preserve">” </w:t>
      </w:r>
      <w:r w:rsidR="00D2062C">
        <w:rPr>
          <w:i/>
        </w:rPr>
        <w:t>Id</w:t>
      </w:r>
      <w:r w:rsidR="0088666E">
        <w:rPr>
          <w:i/>
        </w:rPr>
        <w:t>.</w:t>
      </w:r>
      <w:r w:rsidR="00823F85">
        <w:t xml:space="preserve"> Lime had very much liked the submarine chase scene, and while discussing it with her friend, a producer at Tiny TV, they began to develop the television show</w:t>
      </w:r>
      <w:r w:rsidR="008E7D8F">
        <w:t xml:space="preserve"> called</w:t>
      </w:r>
      <w:r w:rsidR="00823F85">
        <w:t xml:space="preserve"> </w:t>
      </w:r>
      <w:r w:rsidR="00823F85">
        <w:rPr>
          <w:i/>
        </w:rPr>
        <w:t>The Tin Can</w:t>
      </w:r>
      <w:r w:rsidR="00160055">
        <w:t xml:space="preserve">. </w:t>
      </w:r>
      <w:r w:rsidR="00D27B30">
        <w:rPr>
          <w:i/>
        </w:rPr>
        <w:t>Id</w:t>
      </w:r>
      <w:r w:rsidR="0088666E">
        <w:rPr>
          <w:i/>
        </w:rPr>
        <w:t>.</w:t>
      </w:r>
      <w:r w:rsidR="00D27B30">
        <w:t xml:space="preserve"> ¶ 27. </w:t>
      </w:r>
      <w:r w:rsidR="00160055">
        <w:t xml:space="preserve">Lime drew on her ideas from </w:t>
      </w:r>
      <w:r w:rsidR="008E7D8F">
        <w:t>her</w:t>
      </w:r>
      <w:r w:rsidR="00160055">
        <w:t xml:space="preserve"> “Anticipatory Repudiation” screenplay to write the pilot episode entitled “The Love Below,” which Tiny TV produced and performed on September 7, 2010 to much critical acclaim and success.</w:t>
      </w:r>
      <w:r w:rsidR="00D27B30">
        <w:t xml:space="preserve"> </w:t>
      </w:r>
      <w:proofErr w:type="gramStart"/>
      <w:r w:rsidR="00D27B30">
        <w:rPr>
          <w:i/>
        </w:rPr>
        <w:t>Id</w:t>
      </w:r>
      <w:r w:rsidR="0088666E">
        <w:rPr>
          <w:i/>
        </w:rPr>
        <w:t>.</w:t>
      </w:r>
      <w:r w:rsidR="00D27B30">
        <w:t xml:space="preserve"> ¶¶ 28, 29.</w:t>
      </w:r>
      <w:proofErr w:type="gramEnd"/>
      <w:r w:rsidR="00D27B30">
        <w:t xml:space="preserve"> </w:t>
      </w:r>
      <w:r w:rsidR="00A0213B">
        <w:t>On September 15, 2010, OGS informed Lime and Tiny TV that it considered their actions an infringement of OGS’s copyright.</w:t>
      </w:r>
      <w:r w:rsidR="00D27B30">
        <w:t xml:space="preserve"> </w:t>
      </w:r>
      <w:proofErr w:type="gramStart"/>
      <w:r w:rsidR="00D27B30">
        <w:rPr>
          <w:i/>
        </w:rPr>
        <w:t>Id</w:t>
      </w:r>
      <w:r w:rsidR="0088666E">
        <w:rPr>
          <w:i/>
        </w:rPr>
        <w:t>.</w:t>
      </w:r>
      <w:r w:rsidR="00D27B30">
        <w:t xml:space="preserve"> ¶ 33.</w:t>
      </w:r>
      <w:proofErr w:type="gramEnd"/>
    </w:p>
    <w:p w14:paraId="2FFADD3C" w14:textId="77777777" w:rsidR="0088666E" w:rsidRDefault="0088666E" w:rsidP="0088666E">
      <w:pPr>
        <w:jc w:val="center"/>
        <w:rPr>
          <w:b/>
        </w:rPr>
      </w:pPr>
      <w:r>
        <w:rPr>
          <w:b/>
        </w:rPr>
        <w:t>ARGUMENT</w:t>
      </w:r>
    </w:p>
    <w:p w14:paraId="460608CF" w14:textId="426B73F7" w:rsidR="0088666E" w:rsidRDefault="0088666E" w:rsidP="0088666E">
      <w:pPr>
        <w:pStyle w:val="ListParagraph"/>
        <w:numPr>
          <w:ilvl w:val="0"/>
          <w:numId w:val="1"/>
        </w:numPr>
        <w:spacing w:line="240" w:lineRule="auto"/>
        <w:ind w:left="720"/>
        <w:rPr>
          <w:b/>
        </w:rPr>
      </w:pPr>
      <w:r>
        <w:rPr>
          <w:b/>
        </w:rPr>
        <w:t>A PLAIN READING OF 17 U.S.C. § 101 REVEALS THAT AN AGREEMENT IN WRITING MUST BE EXECUTED BEFORE THE WORK IS CREATED IN ORDER FOR IT TO BE CONSIDERED A “</w:t>
      </w:r>
      <w:r w:rsidR="00BF2D28">
        <w:rPr>
          <w:b/>
        </w:rPr>
        <w:t>WORK MADE FOR HIRE</w:t>
      </w:r>
      <w:r>
        <w:rPr>
          <w:b/>
        </w:rPr>
        <w:t>.”</w:t>
      </w:r>
    </w:p>
    <w:p w14:paraId="708CC802" w14:textId="77777777" w:rsidR="0088666E" w:rsidRDefault="0088666E" w:rsidP="0088666E">
      <w:pPr>
        <w:pStyle w:val="ListParagraph"/>
        <w:rPr>
          <w:b/>
        </w:rPr>
      </w:pPr>
    </w:p>
    <w:p w14:paraId="63E1FA9F" w14:textId="66E53E46" w:rsidR="00532323" w:rsidRDefault="00F94262" w:rsidP="00D43CE2">
      <w:pPr>
        <w:pStyle w:val="ListParagraph"/>
        <w:ind w:left="0" w:firstLine="720"/>
      </w:pPr>
      <w:r>
        <w:t xml:space="preserve">The relevant text of the statute </w:t>
      </w:r>
      <w:r w:rsidR="00A42758">
        <w:t>defines a work made for hire as,</w:t>
      </w:r>
      <w:r>
        <w:t xml:space="preserve"> “</w:t>
      </w:r>
      <w:r w:rsidRPr="00F94262">
        <w:t>a work sp</w:t>
      </w:r>
      <w:r w:rsidR="0096120B">
        <w:t>ecially ordered or commissioned</w:t>
      </w:r>
      <w:r w:rsidR="00B96814">
        <w:t xml:space="preserve"> . . . </w:t>
      </w:r>
      <w:r w:rsidRPr="00F94262">
        <w:t>as a part of a motion pic</w:t>
      </w:r>
      <w:r>
        <w:t>ture or other audiovisual work…</w:t>
      </w:r>
      <w:r w:rsidRPr="00F94262">
        <w:t>if the parties expressly agree in a written instrument signed by them that the work shall be considered a work made for hire.</w:t>
      </w:r>
      <w:r>
        <w:t>”</w:t>
      </w:r>
      <w:r w:rsidRPr="00F94262">
        <w:t xml:space="preserve"> </w:t>
      </w:r>
      <w:r w:rsidRPr="009F6D1B">
        <w:rPr>
          <w:rFonts w:eastAsia="Times New Roman"/>
          <w:szCs w:val="24"/>
        </w:rPr>
        <w:t>The Copyright Act of 1976, 17 U.S.C.</w:t>
      </w:r>
      <w:r w:rsidR="00A67614">
        <w:rPr>
          <w:rFonts w:eastAsia="Times New Roman"/>
          <w:szCs w:val="24"/>
        </w:rPr>
        <w:t xml:space="preserve"> § 101</w:t>
      </w:r>
      <w:r>
        <w:rPr>
          <w:rFonts w:eastAsia="Times New Roman"/>
          <w:szCs w:val="24"/>
        </w:rPr>
        <w:t xml:space="preserve">. </w:t>
      </w:r>
      <w:r w:rsidR="00532323">
        <w:t xml:space="preserve">The court should rule that the </w:t>
      </w:r>
      <w:r w:rsidR="00BF2D28">
        <w:t>work made for hire</w:t>
      </w:r>
      <w:r w:rsidR="00D43CE2">
        <w:t xml:space="preserve"> agreement must be signed before the creation of the work for several reasons relating to the text of the provision itself. </w:t>
      </w:r>
      <w:r w:rsidR="00965515">
        <w:t xml:space="preserve">First, the plain language of the statute supports this reading, since it states that the writing must indicate that the work “shall be considered a work made for hire,” and the use of the word “shall” implies that the writing </w:t>
      </w:r>
      <w:r w:rsidR="006552A7">
        <w:t xml:space="preserve">discusses the work as though it has not yet been created. Second, when the </w:t>
      </w:r>
      <w:r w:rsidR="00BF2D28">
        <w:t>work made for hire</w:t>
      </w:r>
      <w:r w:rsidR="006552A7">
        <w:t xml:space="preserve"> provision is read in the </w:t>
      </w:r>
      <w:r w:rsidR="00F2346D">
        <w:t>context of the entire statute it is redundant with the transfer provision</w:t>
      </w:r>
      <w:r w:rsidR="00D44139">
        <w:t xml:space="preserve"> if the writing can be signed after the work is created</w:t>
      </w:r>
      <w:r w:rsidR="00F2346D">
        <w:t>.</w:t>
      </w:r>
      <w:r w:rsidR="00A078DA">
        <w:t xml:space="preserve"> </w:t>
      </w:r>
    </w:p>
    <w:p w14:paraId="0392FC85" w14:textId="77777777" w:rsidR="00D44139" w:rsidRDefault="00D44139" w:rsidP="00D43CE2">
      <w:pPr>
        <w:pStyle w:val="ListParagraph"/>
        <w:ind w:left="0" w:firstLine="720"/>
      </w:pPr>
    </w:p>
    <w:p w14:paraId="38EE1BCF" w14:textId="77777777" w:rsidR="00D44139" w:rsidRPr="006552A7" w:rsidRDefault="00D44139" w:rsidP="00D43CE2">
      <w:pPr>
        <w:pStyle w:val="ListParagraph"/>
        <w:ind w:left="0" w:firstLine="720"/>
        <w:rPr>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p>
    <w:p w14:paraId="6F589660" w14:textId="009451DC" w:rsidR="00D55FF6" w:rsidRDefault="00D55FF6" w:rsidP="00D55FF6">
      <w:pPr>
        <w:pStyle w:val="ListParagraph"/>
        <w:numPr>
          <w:ilvl w:val="0"/>
          <w:numId w:val="3"/>
        </w:numPr>
        <w:spacing w:line="240" w:lineRule="auto"/>
        <w:ind w:left="1440" w:hanging="720"/>
        <w:rPr>
          <w:b/>
        </w:rPr>
      </w:pPr>
      <w:r w:rsidRPr="0088666E">
        <w:rPr>
          <w:b/>
        </w:rPr>
        <w:lastRenderedPageBreak/>
        <w:t>"</w:t>
      </w:r>
      <w:r w:rsidR="00545B2A">
        <w:rPr>
          <w:b/>
        </w:rPr>
        <w:t>S</w:t>
      </w:r>
      <w:r w:rsidR="0096120B">
        <w:rPr>
          <w:b/>
        </w:rPr>
        <w:t>hall</w:t>
      </w:r>
      <w:r w:rsidRPr="0088666E">
        <w:rPr>
          <w:b/>
        </w:rPr>
        <w:t>"</w:t>
      </w:r>
      <w:r w:rsidR="0096120B">
        <w:rPr>
          <w:b/>
        </w:rPr>
        <w:t xml:space="preserve"> </w:t>
      </w:r>
      <w:r w:rsidR="00545B2A">
        <w:rPr>
          <w:b/>
        </w:rPr>
        <w:t xml:space="preserve">as </w:t>
      </w:r>
      <w:r w:rsidR="00FA5604">
        <w:rPr>
          <w:b/>
        </w:rPr>
        <w:t>used</w:t>
      </w:r>
      <w:r w:rsidR="00545B2A">
        <w:rPr>
          <w:b/>
        </w:rPr>
        <w:t xml:space="preserve"> in the work for hire provision </w:t>
      </w:r>
      <w:r w:rsidR="0096120B">
        <w:rPr>
          <w:b/>
        </w:rPr>
        <w:t>demonstrates</w:t>
      </w:r>
      <w:r w:rsidRPr="0088666E">
        <w:rPr>
          <w:b/>
        </w:rPr>
        <w:t xml:space="preserve"> that </w:t>
      </w:r>
      <w:r w:rsidR="0096120B">
        <w:rPr>
          <w:b/>
        </w:rPr>
        <w:t>the writing must precede the creation of the work</w:t>
      </w:r>
      <w:r w:rsidRPr="0088666E">
        <w:rPr>
          <w:b/>
        </w:rPr>
        <w:t>.</w:t>
      </w:r>
    </w:p>
    <w:p w14:paraId="348DE14E" w14:textId="77777777" w:rsidR="00096E80" w:rsidRDefault="00096E80" w:rsidP="00096E80">
      <w:pPr>
        <w:spacing w:line="240" w:lineRule="auto"/>
        <w:ind w:left="720"/>
      </w:pPr>
    </w:p>
    <w:p w14:paraId="42092DB3" w14:textId="21ADB575" w:rsidR="00096E80" w:rsidRDefault="00FA5604" w:rsidP="00FA5604">
      <w:pPr>
        <w:ind w:firstLine="720"/>
      </w:pPr>
      <w:r>
        <w:t xml:space="preserve">The plain meaning of the works-made-for-hire provision indicates that Congress </w:t>
      </w:r>
      <w:r w:rsidRPr="00FA5604">
        <w:t>intended</w:t>
      </w:r>
      <w:r>
        <w:t xml:space="preserve"> for the </w:t>
      </w:r>
      <w:r w:rsidR="00BF2D28">
        <w:t>work made for hire</w:t>
      </w:r>
      <w:r>
        <w:t xml:space="preserve"> agreement to be signed before the creation of the work in order to be valid.</w:t>
      </w:r>
      <w:r w:rsidR="00670CB8">
        <w:t xml:space="preserve"> </w:t>
      </w:r>
      <w:r w:rsidR="00096E80">
        <w:t xml:space="preserve">Merriam-Webster’s Dictionary defines “shall” as an auxiliary </w:t>
      </w:r>
      <w:r w:rsidR="00765AB2">
        <w:t>“</w:t>
      </w:r>
      <w:r w:rsidR="00096E80">
        <w:t>used to express</w:t>
      </w:r>
      <w:r>
        <w:rPr>
          <w:rStyle w:val="ssens"/>
        </w:rPr>
        <w:t xml:space="preserve"> </w:t>
      </w:r>
      <w:r w:rsidR="00096E80">
        <w:t>what seems inevitable or likely</w:t>
      </w:r>
      <w:r>
        <w:t xml:space="preserve"> to happen</w:t>
      </w:r>
      <w:r w:rsidR="00096E80">
        <w:t xml:space="preserve"> </w:t>
      </w:r>
      <w:r w:rsidR="00096E80">
        <w:rPr>
          <w:i/>
        </w:rPr>
        <w:t>in the future,</w:t>
      </w:r>
      <w:r w:rsidR="00765AB2">
        <w:t>”</w:t>
      </w:r>
      <w:r w:rsidR="00096E80">
        <w:rPr>
          <w:i/>
        </w:rPr>
        <w:t xml:space="preserve"> </w:t>
      </w:r>
      <w:r>
        <w:t xml:space="preserve">and </w:t>
      </w:r>
      <w:r w:rsidR="00765AB2">
        <w:t>“</w:t>
      </w:r>
      <w:r w:rsidR="00096E80">
        <w:rPr>
          <w:i/>
        </w:rPr>
        <w:t>simple futurity</w:t>
      </w:r>
      <w:r w:rsidR="00096E80">
        <w:t>.</w:t>
      </w:r>
      <w:r w:rsidR="00765AB2">
        <w:t>”</w:t>
      </w:r>
      <w:r w:rsidR="00096E80">
        <w:t xml:space="preserve"> </w:t>
      </w:r>
      <w:r w:rsidR="00CC70D2">
        <w:rPr>
          <w:i/>
        </w:rPr>
        <w:t xml:space="preserve">Merriam-Webster </w:t>
      </w:r>
      <w:r w:rsidR="00765AB2">
        <w:rPr>
          <w:i/>
        </w:rPr>
        <w:t xml:space="preserve">Online </w:t>
      </w:r>
      <w:r w:rsidR="00CC70D2">
        <w:rPr>
          <w:i/>
        </w:rPr>
        <w:t>Dictionary</w:t>
      </w:r>
      <w:r w:rsidR="00765AB2">
        <w:t xml:space="preserve">, </w:t>
      </w:r>
      <w:r w:rsidR="00765AB2" w:rsidRPr="00765AB2">
        <w:t>http://www.merriam-webster.com/dictionary/shall</w:t>
      </w:r>
      <w:r w:rsidR="00765AB2">
        <w:t xml:space="preserve">. </w:t>
      </w:r>
      <w:r w:rsidR="00490EA2">
        <w:t xml:space="preserve">Congress’ use of the word “shall” when stating </w:t>
      </w:r>
      <w:r w:rsidR="00033C92">
        <w:t xml:space="preserve">the required language for the </w:t>
      </w:r>
      <w:r w:rsidR="00490EA2">
        <w:t xml:space="preserve">written agreement shows that </w:t>
      </w:r>
      <w:r w:rsidR="00033C92">
        <w:t>Congress envisioned</w:t>
      </w:r>
      <w:r w:rsidR="00096E80">
        <w:t xml:space="preserve"> that the execution of the writing would precede the creation of the work. The </w:t>
      </w:r>
      <w:r w:rsidR="00801EED">
        <w:t>clause</w:t>
      </w:r>
      <w:r w:rsidR="00490EA2">
        <w:t xml:space="preserve"> describes the writing as</w:t>
      </w:r>
      <w:r w:rsidR="00801EED">
        <w:t xml:space="preserve"> </w:t>
      </w:r>
      <w:r w:rsidR="00490EA2">
        <w:t>referring</w:t>
      </w:r>
      <w:r w:rsidR="00801EED">
        <w:t xml:space="preserve"> to the work in the future tense, implying that when the writing is executed, the work has not been created. </w:t>
      </w:r>
      <w:r w:rsidR="00C83E60">
        <w:t>The plain meaning of the clause indicates that Congress intended for the writing to be signed before the work is created.</w:t>
      </w:r>
      <w:r w:rsidR="00096E80">
        <w:t xml:space="preserve"> </w:t>
      </w:r>
    </w:p>
    <w:p w14:paraId="752B06FD" w14:textId="08DA108B" w:rsidR="00096E80" w:rsidRPr="00096E80" w:rsidRDefault="00FA5604" w:rsidP="00FA5604">
      <w:pPr>
        <w:ind w:firstLine="720"/>
      </w:pPr>
      <w:r>
        <w:t>The Merriam-Webster definition of “shall” also says that it can be “</w:t>
      </w:r>
      <w:r>
        <w:rPr>
          <w:rStyle w:val="ssens"/>
        </w:rPr>
        <w:t>used in laws, regulations, or directives to express what is mandatory.”</w:t>
      </w:r>
      <w:r w:rsidR="00D44139">
        <w:rPr>
          <w:rStyle w:val="ssens"/>
        </w:rPr>
        <w:t xml:space="preserve"> </w:t>
      </w:r>
      <w:r w:rsidR="00D44139">
        <w:rPr>
          <w:rStyle w:val="ssens"/>
          <w:i/>
        </w:rPr>
        <w:t>Id</w:t>
      </w:r>
      <w:r w:rsidR="00D44139" w:rsidRPr="00D44139">
        <w:rPr>
          <w:rStyle w:val="ssens"/>
        </w:rPr>
        <w:t>.</w:t>
      </w:r>
      <w:r w:rsidR="00D44139">
        <w:rPr>
          <w:rStyle w:val="ssens"/>
          <w:i/>
        </w:rPr>
        <w:t xml:space="preserve"> </w:t>
      </w:r>
      <w:r>
        <w:t xml:space="preserve">However, that definition is not relevant in the context of this provision. “Shall” is used to show what a </w:t>
      </w:r>
      <w:r w:rsidR="00BF2D28">
        <w:t>work made for hire</w:t>
      </w:r>
      <w:r>
        <w:t xml:space="preserve"> agreement </w:t>
      </w:r>
      <w:r w:rsidR="00317952">
        <w:t>should</w:t>
      </w:r>
      <w:r>
        <w:t xml:space="preserve"> say in order to effectively vest authorship in someone other than the creator, not that </w:t>
      </w:r>
      <w:r w:rsidR="00317952">
        <w:t>any</w:t>
      </w:r>
      <w:r>
        <w:t xml:space="preserve"> action is mandatory. If we substitute words for “shall” that convey both definitions, it shows that the “futurity” definition </w:t>
      </w:r>
      <w:r w:rsidR="00317952">
        <w:t>is more suitable</w:t>
      </w:r>
      <w:r>
        <w:t xml:space="preserve">:  </w:t>
      </w:r>
      <w:r w:rsidR="00D44139">
        <w:t>“</w:t>
      </w:r>
      <w:r w:rsidR="00D44139" w:rsidRPr="00F94262">
        <w:t xml:space="preserve">if the parties expressly agree in a written instrument signed by them that </w:t>
      </w:r>
      <w:r w:rsidRPr="00F94262">
        <w:t xml:space="preserve">the work </w:t>
      </w:r>
      <w:r w:rsidR="0098497E">
        <w:t>[</w:t>
      </w:r>
      <w:r w:rsidRPr="00D44139">
        <w:rPr>
          <w:i/>
        </w:rPr>
        <w:t>must</w:t>
      </w:r>
      <w:r w:rsidR="0098497E">
        <w:t>]</w:t>
      </w:r>
      <w:r>
        <w:t xml:space="preserve"> be considered a </w:t>
      </w:r>
      <w:r w:rsidR="00BF2D28">
        <w:t>work made for hire</w:t>
      </w:r>
      <w:r>
        <w:t>,</w:t>
      </w:r>
      <w:r w:rsidR="0098497E">
        <w:t>”</w:t>
      </w:r>
      <w:r>
        <w:t xml:space="preserve"> or </w:t>
      </w:r>
      <w:r w:rsidR="0098497E">
        <w:t>“…</w:t>
      </w:r>
      <w:r w:rsidRPr="00F94262">
        <w:t xml:space="preserve">the work </w:t>
      </w:r>
      <w:r w:rsidR="0098497E">
        <w:t>[</w:t>
      </w:r>
      <w:r w:rsidR="0098497E">
        <w:rPr>
          <w:i/>
        </w:rPr>
        <w:t>will</w:t>
      </w:r>
      <w:r w:rsidR="0098497E">
        <w:t>]</w:t>
      </w:r>
      <w:r w:rsidRPr="00F94262">
        <w:t xml:space="preserve"> be considered a work made for hire</w:t>
      </w:r>
      <w:r>
        <w:t>.</w:t>
      </w:r>
      <w:r w:rsidR="0098497E">
        <w:t>”</w:t>
      </w:r>
      <w:r>
        <w:t xml:space="preserve"> It seems unnecessary to say that the work “must” be considered a </w:t>
      </w:r>
      <w:r w:rsidR="00BF2D28">
        <w:t>work made for hire</w:t>
      </w:r>
      <w:r>
        <w:t>, since the writing already indicates that that is the</w:t>
      </w:r>
      <w:r w:rsidR="00BF34CA">
        <w:t xml:space="preserve"> parties’</w:t>
      </w:r>
      <w:r>
        <w:t xml:space="preserve"> agreement. It is much more fitting to substitute “shall” with “will</w:t>
      </w:r>
      <w:r w:rsidR="00317952">
        <w:t>.</w:t>
      </w:r>
      <w:r>
        <w:t xml:space="preserve">” </w:t>
      </w:r>
      <w:r w:rsidR="0098497E">
        <w:t>Congress could have simply written that</w:t>
      </w:r>
      <w:r>
        <w:t xml:space="preserve"> a work “is” </w:t>
      </w:r>
      <w:r w:rsidR="00BF34CA">
        <w:t>considered a work made for hire, which would imply that the agreement could be signed before or after creation</w:t>
      </w:r>
      <w:r w:rsidR="0098497E">
        <w:t>, but they didn’t</w:t>
      </w:r>
      <w:r w:rsidR="00BF34CA">
        <w:t>. Congress</w:t>
      </w:r>
      <w:r>
        <w:t xml:space="preserve"> chose the word </w:t>
      </w:r>
      <w:r>
        <w:lastRenderedPageBreak/>
        <w:t xml:space="preserve">“shall” in order to convey that a </w:t>
      </w:r>
      <w:r w:rsidR="00BF2D28">
        <w:t>work made for hire</w:t>
      </w:r>
      <w:r>
        <w:t xml:space="preserve"> agreement is signed before the creation of the work. </w:t>
      </w:r>
    </w:p>
    <w:p w14:paraId="15BC70D8" w14:textId="30961476" w:rsidR="0078262D" w:rsidRDefault="0078262D" w:rsidP="0078262D">
      <w:pPr>
        <w:pStyle w:val="ListParagraph"/>
        <w:numPr>
          <w:ilvl w:val="0"/>
          <w:numId w:val="3"/>
        </w:numPr>
        <w:spacing w:line="240" w:lineRule="auto"/>
        <w:ind w:left="1440" w:hanging="720"/>
        <w:rPr>
          <w:b/>
        </w:rPr>
      </w:pPr>
      <w:r>
        <w:rPr>
          <w:b/>
        </w:rPr>
        <w:t xml:space="preserve">The </w:t>
      </w:r>
      <w:r w:rsidR="00BF2D28">
        <w:rPr>
          <w:b/>
        </w:rPr>
        <w:t>work made for hire</w:t>
      </w:r>
      <w:r>
        <w:rPr>
          <w:b/>
        </w:rPr>
        <w:t xml:space="preserve"> designation is redundant if the writing can be executed after the work is created, because then it serves as an alternative to the transfer provision. </w:t>
      </w:r>
    </w:p>
    <w:p w14:paraId="44B3429D" w14:textId="77777777" w:rsidR="00E72613" w:rsidRDefault="00E72613" w:rsidP="00E72613">
      <w:pPr>
        <w:spacing w:line="240" w:lineRule="auto"/>
        <w:rPr>
          <w:b/>
        </w:rPr>
      </w:pPr>
    </w:p>
    <w:p w14:paraId="7A0671B0" w14:textId="62B7EDFE" w:rsidR="007E6694" w:rsidRDefault="007E6694" w:rsidP="007E6694">
      <w:pPr>
        <w:ind w:firstLine="720"/>
      </w:pPr>
      <w:r>
        <w:t xml:space="preserve">If the court interprets the statute to allow the work made for hire agreement to be signed after the work is created, </w:t>
      </w:r>
      <w:r w:rsidR="0083538D">
        <w:t>the works made for hire provision becomes redundant with the transfer provision</w:t>
      </w:r>
      <w:r w:rsidR="00FD1E6F">
        <w:t>, which governs transferring ownership of the copyright to another party for a specific period of time</w:t>
      </w:r>
      <w:r w:rsidR="0083538D">
        <w:t>. But s</w:t>
      </w:r>
      <w:r>
        <w:t xml:space="preserve">tatutes should be construed so that no word is “superfluous, void, or insignificant.” </w:t>
      </w:r>
      <w:r w:rsidRPr="00E72613">
        <w:rPr>
          <w:i/>
        </w:rPr>
        <w:t>TRW Inc. v. Andrews</w:t>
      </w:r>
      <w:r w:rsidRPr="00E72613">
        <w:t>, 534 U.S. 19, 31 (2001).</w:t>
      </w:r>
      <w:r>
        <w:t xml:space="preserve"> </w:t>
      </w:r>
      <w:r w:rsidR="0083538D">
        <w:t>Courts</w:t>
      </w:r>
      <w:r>
        <w:t xml:space="preserve"> should choose the interpretation that makes each word and provision significant and not interpret any provision to be redundant with another in the statute. Ronald Benton Brown &amp; Sharon Jacobs Brown, </w:t>
      </w:r>
      <w:r>
        <w:rPr>
          <w:i/>
        </w:rPr>
        <w:t>Statutory Interpretation: The Search for Legislative Intent</w:t>
      </w:r>
      <w:r>
        <w:t xml:space="preserve"> 106 (2d ed. 2011). </w:t>
      </w:r>
      <w:r w:rsidR="00CE0F1B">
        <w:t xml:space="preserve">Because a copyright is created the moment words are written on the page, a work made for hire agreement signed after creation is essentially a transfer of the copyright. </w:t>
      </w:r>
    </w:p>
    <w:p w14:paraId="07814BA7" w14:textId="2C8609E1" w:rsidR="00927BAE" w:rsidRDefault="00D4661D" w:rsidP="00927BAE">
      <w:pPr>
        <w:ind w:firstLine="720"/>
      </w:pPr>
      <w:r>
        <w:t xml:space="preserve">The Copyright Act recognizes </w:t>
      </w:r>
      <w:r w:rsidR="00500542">
        <w:t>a copyright interest at the moment a work is created</w:t>
      </w:r>
      <w:r w:rsidR="005C5AE8">
        <w:t>, when it is</w:t>
      </w:r>
      <w:r w:rsidR="00500542">
        <w:t xml:space="preserve"> “fixed</w:t>
      </w:r>
      <w:r w:rsidR="0083538D">
        <w:t>”</w:t>
      </w:r>
      <w:r w:rsidR="00500542">
        <w:t xml:space="preserve"> in </w:t>
      </w:r>
      <w:r w:rsidR="00CE0F1B">
        <w:t>a tangible medium of expression.</w:t>
      </w:r>
      <w:r>
        <w:t xml:space="preserve"> </w:t>
      </w:r>
      <w:r w:rsidR="00500542">
        <w:t>The Copyright Act, 17 U.S.C. § 102(a) (1976).</w:t>
      </w:r>
      <w:r>
        <w:t xml:space="preserve">The act defines “created” as </w:t>
      </w:r>
      <w:r w:rsidRPr="00D4661D">
        <w:t>“the portion of it that has been fixed at any particular time</w:t>
      </w:r>
      <w:r>
        <w:t>,</w:t>
      </w:r>
      <w:r w:rsidRPr="00D4661D">
        <w:t>”</w:t>
      </w:r>
      <w:r>
        <w:t xml:space="preserve"> and “fixed” as </w:t>
      </w:r>
      <w:r w:rsidRPr="00D4661D">
        <w:t>“sufficiently permanent or stable.”</w:t>
      </w:r>
      <w:r w:rsidR="00500542">
        <w:t xml:space="preserve"> </w:t>
      </w:r>
      <w:proofErr w:type="gramStart"/>
      <w:r w:rsidR="00500542">
        <w:rPr>
          <w:i/>
        </w:rPr>
        <w:t>Id.</w:t>
      </w:r>
      <w:r w:rsidR="00500542">
        <w:t xml:space="preserve"> § 101.</w:t>
      </w:r>
      <w:proofErr w:type="gramEnd"/>
      <w:r w:rsidR="00500542">
        <w:t xml:space="preserve"> The moment that Lime began typing the screenplay, she became the author of the work and held the copyright. </w:t>
      </w:r>
    </w:p>
    <w:p w14:paraId="6443735D" w14:textId="47E03A23" w:rsidR="000672B7" w:rsidRDefault="008D6CA2" w:rsidP="00927BAE">
      <w:r>
        <w:t xml:space="preserve">Since a copyright interest is assigned to the author the moment a work is “fixed” in a tangible medium pursuant to § 101, the proper way to vest the copyright in the commissioning party </w:t>
      </w:r>
      <w:r w:rsidR="00033C92">
        <w:t xml:space="preserve">after the work is created </w:t>
      </w:r>
      <w:r>
        <w:t>would be for the creator to transfer the copyright</w:t>
      </w:r>
      <w:r w:rsidR="008C09F4">
        <w:t xml:space="preserve"> pursuant to § </w:t>
      </w:r>
      <w:r w:rsidR="00F503F0">
        <w:t>201</w:t>
      </w:r>
      <w:r>
        <w:t xml:space="preserve">. </w:t>
      </w:r>
      <w:r w:rsidRPr="008D6CA2">
        <w:t xml:space="preserve">Carolyn M. Salzmann, </w:t>
      </w:r>
      <w:r w:rsidRPr="008D6CA2">
        <w:rPr>
          <w:i/>
          <w:iCs/>
        </w:rPr>
        <w:t xml:space="preserve">You Commissioned It, You Bought It, But Do You Own It? The Work For Hire: </w:t>
      </w:r>
      <w:r w:rsidRPr="008D6CA2">
        <w:rPr>
          <w:i/>
          <w:iCs/>
        </w:rPr>
        <w:lastRenderedPageBreak/>
        <w:t>Why Is Something So Simple, So Complicated</w:t>
      </w:r>
      <w:proofErr w:type="gramStart"/>
      <w:r w:rsidRPr="008D6CA2">
        <w:rPr>
          <w:i/>
          <w:iCs/>
        </w:rPr>
        <w:t>?</w:t>
      </w:r>
      <w:r w:rsidR="000672B7">
        <w:t>,</w:t>
      </w:r>
      <w:proofErr w:type="gramEnd"/>
      <w:r w:rsidRPr="008D6CA2">
        <w:t xml:space="preserve"> 31 U. </w:t>
      </w:r>
      <w:proofErr w:type="spellStart"/>
      <w:r w:rsidRPr="008D6CA2">
        <w:t>Tol</w:t>
      </w:r>
      <w:proofErr w:type="spellEnd"/>
      <w:r w:rsidRPr="008D6CA2">
        <w:t>. L. Rev. 497, 517 (2000).</w:t>
      </w:r>
      <w:r w:rsidR="000D7F77">
        <w:t xml:space="preserve"> If the writing requirement </w:t>
      </w:r>
      <w:r w:rsidR="00033C92">
        <w:t>can be</w:t>
      </w:r>
      <w:r w:rsidR="000D7F77">
        <w:t xml:space="preserve"> satisfied after the work is created, </w:t>
      </w:r>
      <w:r w:rsidR="000672B7">
        <w:t xml:space="preserve">the writing would be an “alternative” to the transfer writing requirement, making the </w:t>
      </w:r>
      <w:r w:rsidR="00BF2D28">
        <w:t>work made for hire</w:t>
      </w:r>
      <w:r w:rsidR="000672B7">
        <w:t xml:space="preserve"> provision redundant. </w:t>
      </w:r>
      <w:proofErr w:type="gramStart"/>
      <w:r w:rsidR="000672B7">
        <w:rPr>
          <w:i/>
        </w:rPr>
        <w:t xml:space="preserve">Id. </w:t>
      </w:r>
      <w:r w:rsidR="000672B7">
        <w:t>at 518.</w:t>
      </w:r>
      <w:proofErr w:type="gramEnd"/>
      <w:r w:rsidR="000672B7">
        <w:t xml:space="preserve"> </w:t>
      </w:r>
      <w:r w:rsidR="0023072C">
        <w:t xml:space="preserve">Because Congress spent years working on the drafting of this Act, it is difficult to believe that they would have overlooked this potential redundancy. </w:t>
      </w:r>
    </w:p>
    <w:p w14:paraId="7549DC03" w14:textId="429DFBCC" w:rsidR="00554F50" w:rsidRDefault="00554F50" w:rsidP="00927BAE">
      <w:r>
        <w:tab/>
        <w:t xml:space="preserve">Plaintiff argues that </w:t>
      </w:r>
      <w:r w:rsidR="008C09F4">
        <w:t xml:space="preserve">the works made for hire provision is distinct from the transfer provision because </w:t>
      </w:r>
      <w:r w:rsidR="00E94911">
        <w:t xml:space="preserve">a works made for hire agreement designates the commissioning party as </w:t>
      </w:r>
      <w:r w:rsidR="00FD1E6F">
        <w:t>not only the copyright holder, but also the author, which affords certain additional ben</w:t>
      </w:r>
      <w:r w:rsidR="00B00E52">
        <w:t>e</w:t>
      </w:r>
      <w:r w:rsidR="00FD1E6F">
        <w:t>fits</w:t>
      </w:r>
      <w:r w:rsidR="00F503F0">
        <w:t>. This presents another problem with Plaintiff’s interpretation. Since the creator becomes author the moment the work is fixed (absent a signed work made for hire agreement), any agreement signed after the work is created effectively transfers authorship as well as copyright, which is not contemplated in any section of the act. Congress could not have intended for authorship to be transferrable, becau</w:t>
      </w:r>
      <w:r w:rsidR="002A312C">
        <w:t xml:space="preserve">se it is not actually property, it is simply a title that affords certain rights. </w:t>
      </w:r>
      <w:r w:rsidR="00C61453">
        <w:t>The Second Circuit addressed this issue, stating, “</w:t>
      </w:r>
      <w:r w:rsidR="00C61453" w:rsidRPr="00C61453">
        <w:t>We also question whether Congress intended that a work could have two separate “authors”—one during the first phase of its existence, and another after a work-for-hire agreement were executed.</w:t>
      </w:r>
      <w:r w:rsidR="00C61453">
        <w:t xml:space="preserve">” </w:t>
      </w:r>
      <w:r w:rsidR="00C61453" w:rsidRPr="00C61453">
        <w:t xml:space="preserve"> </w:t>
      </w:r>
      <w:r w:rsidR="00C61453">
        <w:rPr>
          <w:i/>
        </w:rPr>
        <w:t>Playboy Enterprises, Inc. v. Dumas</w:t>
      </w:r>
      <w:r w:rsidR="00C61453">
        <w:t>, 53 F.3d 549,</w:t>
      </w:r>
      <w:r w:rsidR="00C61453">
        <w:rPr>
          <w:i/>
        </w:rPr>
        <w:t xml:space="preserve"> </w:t>
      </w:r>
      <w:r w:rsidR="00C61453" w:rsidRPr="00CE7E5B">
        <w:t>559</w:t>
      </w:r>
      <w:r w:rsidR="00C61453">
        <w:t xml:space="preserve"> (2d Cir. 1995).</w:t>
      </w:r>
      <w:r w:rsidR="002A312C">
        <w:t xml:space="preserve">Therefore, Plaintiff’s conception of the provision is invalid because it would allow for a transfer of authorship, which Congress did not intend. </w:t>
      </w:r>
    </w:p>
    <w:p w14:paraId="115C163C" w14:textId="2D50252D" w:rsidR="0088666E" w:rsidRDefault="0096120B" w:rsidP="0088666E">
      <w:pPr>
        <w:pStyle w:val="ListParagraph"/>
        <w:numPr>
          <w:ilvl w:val="0"/>
          <w:numId w:val="1"/>
        </w:numPr>
        <w:spacing w:line="240" w:lineRule="auto"/>
        <w:ind w:left="720"/>
        <w:rPr>
          <w:b/>
        </w:rPr>
      </w:pPr>
      <w:r>
        <w:rPr>
          <w:b/>
        </w:rPr>
        <w:t>CONGRESS’</w:t>
      </w:r>
      <w:r w:rsidR="0088666E">
        <w:rPr>
          <w:b/>
        </w:rPr>
        <w:t xml:space="preserve"> INTEN</w:t>
      </w:r>
      <w:r w:rsidR="005107C9">
        <w:rPr>
          <w:b/>
        </w:rPr>
        <w:t xml:space="preserve">DED </w:t>
      </w:r>
      <w:r w:rsidR="0088666E">
        <w:rPr>
          <w:b/>
        </w:rPr>
        <w:t xml:space="preserve">TO </w:t>
      </w:r>
      <w:r w:rsidR="004557F9">
        <w:rPr>
          <w:b/>
        </w:rPr>
        <w:t>PROMOTE</w:t>
      </w:r>
      <w:r w:rsidR="0088666E">
        <w:rPr>
          <w:b/>
        </w:rPr>
        <w:t xml:space="preserve"> CERTAINTY AND PREDICTABILITY </w:t>
      </w:r>
      <w:r w:rsidR="004557F9">
        <w:rPr>
          <w:b/>
        </w:rPr>
        <w:t>IN</w:t>
      </w:r>
      <w:r w:rsidR="0088666E">
        <w:rPr>
          <w:b/>
        </w:rPr>
        <w:t xml:space="preserve"> THE WORK</w:t>
      </w:r>
      <w:r w:rsidR="00B7579B">
        <w:rPr>
          <w:b/>
        </w:rPr>
        <w:t>S</w:t>
      </w:r>
      <w:r w:rsidR="0088666E">
        <w:rPr>
          <w:b/>
        </w:rPr>
        <w:t xml:space="preserve">-MADE-FOR-HIRE </w:t>
      </w:r>
      <w:r w:rsidR="007E6694">
        <w:rPr>
          <w:b/>
        </w:rPr>
        <w:t xml:space="preserve">PROVISION </w:t>
      </w:r>
      <w:r w:rsidR="0088666E">
        <w:rPr>
          <w:b/>
        </w:rPr>
        <w:t>BY REQUIRING A SIGNED WRITING PRIOR TO THE CREATION OF THE WORK</w:t>
      </w:r>
      <w:r w:rsidR="009517E0">
        <w:rPr>
          <w:b/>
        </w:rPr>
        <w:t>.</w:t>
      </w:r>
    </w:p>
    <w:p w14:paraId="14CDB5CB" w14:textId="77777777" w:rsidR="004A6086" w:rsidRDefault="004A6086" w:rsidP="004A6086">
      <w:pPr>
        <w:pStyle w:val="ListParagraph"/>
        <w:spacing w:line="240" w:lineRule="auto"/>
        <w:rPr>
          <w:b/>
        </w:rPr>
      </w:pPr>
    </w:p>
    <w:p w14:paraId="32C3F6DA" w14:textId="02ABBDB6" w:rsidR="004A6086" w:rsidRPr="004A6086" w:rsidRDefault="004A6086" w:rsidP="004A6086">
      <w:pPr>
        <w:pStyle w:val="ListParagraph"/>
        <w:ind w:left="0" w:firstLine="720"/>
      </w:pPr>
      <w:r>
        <w:t xml:space="preserve">There is an explicit statement in the Congressional record that a writing signed post-creation would not be sufficient to meet the </w:t>
      </w:r>
      <w:r w:rsidR="00BF2D28">
        <w:t>work made for hire</w:t>
      </w:r>
      <w:r>
        <w:t xml:space="preserve"> criteria. This statement was made by Barbara Ringer, an official in the Copyright Office who was a central figure in the </w:t>
      </w:r>
      <w:r>
        <w:lastRenderedPageBreak/>
        <w:t xml:space="preserve">drafting of the Copyright Act of 1976. The court should use her statement as evidence of Congressional intent because she was </w:t>
      </w:r>
      <w:r w:rsidR="00837028">
        <w:t>intimately</w:t>
      </w:r>
      <w:r>
        <w:t xml:space="preserve"> involved in the brokering of compromises between interest groups, which Congress intended to preserve in the statute, and because the court has used her testimony in other contexts of copyright law as evidence of Congressional intent. </w:t>
      </w:r>
      <w:r w:rsidR="00837028">
        <w:t xml:space="preserve">In addition, it is necessary for the writing to be signed before the creation of the work in order to avoid </w:t>
      </w:r>
      <w:r w:rsidR="0099281B">
        <w:t xml:space="preserve">uncertainty of ownership and case by case analysis that would undermine Congress’ goals of certainty and predictability in copyright law. </w:t>
      </w:r>
      <w:r w:rsidR="0083538D">
        <w:t>Lastly, Supreme Court precedent states that the court should apply the rule of lenity to all provisions of a statute with civil and criminal applications so that the entire statute is construed consistently.</w:t>
      </w:r>
    </w:p>
    <w:p w14:paraId="22E1D553" w14:textId="4F611338" w:rsidR="0088666E" w:rsidRDefault="00CA3352" w:rsidP="0088666E">
      <w:pPr>
        <w:pStyle w:val="ListParagraph"/>
        <w:numPr>
          <w:ilvl w:val="0"/>
          <w:numId w:val="4"/>
        </w:numPr>
        <w:spacing w:line="240" w:lineRule="auto"/>
        <w:ind w:left="1440" w:hanging="720"/>
        <w:rPr>
          <w:b/>
        </w:rPr>
      </w:pPr>
      <w:r>
        <w:rPr>
          <w:b/>
        </w:rPr>
        <w:t>Barbara Ringer’s</w:t>
      </w:r>
      <w:r w:rsidR="0088666E" w:rsidRPr="0088666E">
        <w:rPr>
          <w:b/>
        </w:rPr>
        <w:t xml:space="preserve"> </w:t>
      </w:r>
      <w:r>
        <w:rPr>
          <w:b/>
        </w:rPr>
        <w:t>statement</w:t>
      </w:r>
      <w:r w:rsidR="0088666E" w:rsidRPr="0088666E">
        <w:rPr>
          <w:b/>
        </w:rPr>
        <w:t xml:space="preserve"> clearly </w:t>
      </w:r>
      <w:r>
        <w:rPr>
          <w:b/>
        </w:rPr>
        <w:t xml:space="preserve">supports </w:t>
      </w:r>
      <w:r w:rsidR="002A6C5A">
        <w:rPr>
          <w:b/>
        </w:rPr>
        <w:t>Defendant</w:t>
      </w:r>
      <w:r>
        <w:rPr>
          <w:b/>
        </w:rPr>
        <w:t>’</w:t>
      </w:r>
      <w:r w:rsidR="00470381">
        <w:rPr>
          <w:b/>
        </w:rPr>
        <w:t>s interpretation,</w:t>
      </w:r>
      <w:r w:rsidR="0088666E" w:rsidRPr="0088666E">
        <w:rPr>
          <w:b/>
        </w:rPr>
        <w:t xml:space="preserve"> and her statement should be </w:t>
      </w:r>
      <w:r w:rsidR="00890FE3">
        <w:rPr>
          <w:b/>
        </w:rPr>
        <w:t xml:space="preserve">given great weight in light of the drafting process of the </w:t>
      </w:r>
      <w:r w:rsidR="00470381">
        <w:rPr>
          <w:b/>
        </w:rPr>
        <w:t>Act</w:t>
      </w:r>
      <w:r w:rsidR="0088666E" w:rsidRPr="0088666E">
        <w:rPr>
          <w:b/>
        </w:rPr>
        <w:t xml:space="preserve">. </w:t>
      </w:r>
    </w:p>
    <w:p w14:paraId="4CC1999C" w14:textId="77777777" w:rsidR="00415D2A" w:rsidRDefault="00415D2A" w:rsidP="00415D2A">
      <w:pPr>
        <w:spacing w:line="240" w:lineRule="auto"/>
        <w:ind w:left="720"/>
        <w:rPr>
          <w:b/>
        </w:rPr>
      </w:pPr>
    </w:p>
    <w:p w14:paraId="3A2EC1F3" w14:textId="380F2D8B" w:rsidR="00415D2A" w:rsidRDefault="00F0439E" w:rsidP="00415D2A">
      <w:pPr>
        <w:ind w:firstLine="720"/>
        <w:rPr>
          <w:szCs w:val="24"/>
        </w:rPr>
      </w:pPr>
      <w:r>
        <w:t xml:space="preserve">The Congressional record contains a clear answer to the question of when the written instrument must be signed to effectively vest authorship and copyright to the commissioning party. Barbara Ringer, an official in the Copyright Office who later became Register of Copyrights, provides the answer. </w:t>
      </w:r>
      <w:r>
        <w:rPr>
          <w:szCs w:val="24"/>
        </w:rPr>
        <w:t xml:space="preserve">Textualists will argue that we must try to understand the intent of the legislature, and not an unelected government official, to interpret an ambiguous statute. However, the Copyright Act of 1976 represents a unique case where knowing Barbara Ringer’s interpretation of this provision is the best way to know what Congress intended when the law was passed. </w:t>
      </w:r>
      <w:r>
        <w:t xml:space="preserve">Ringer </w:t>
      </w:r>
      <w:r w:rsidR="00415D2A">
        <w:t xml:space="preserve">stated that a work </w:t>
      </w:r>
      <w:r w:rsidR="00415D2A" w:rsidRPr="00CA3352">
        <w:rPr>
          <w:szCs w:val="24"/>
        </w:rPr>
        <w:t>“would not be considered a 'work made for hire' if the contract were signed later on - after the work was written, for example.”</w:t>
      </w:r>
      <w:r w:rsidR="00415D2A">
        <w:rPr>
          <w:sz w:val="22"/>
        </w:rPr>
        <w:t xml:space="preserve"> </w:t>
      </w:r>
      <w:r w:rsidR="00415D2A" w:rsidRPr="00415D2A">
        <w:rPr>
          <w:szCs w:val="24"/>
        </w:rPr>
        <w:t xml:space="preserve">Staff of H. Comm. on the Judiciary, 89th Cong., </w:t>
      </w:r>
      <w:r w:rsidR="00415D2A" w:rsidRPr="00415D2A">
        <w:rPr>
          <w:i/>
          <w:szCs w:val="24"/>
        </w:rPr>
        <w:t>Copyright Law Revision, Part 5, 1964 Revision Bill with Discussions and Comments</w:t>
      </w:r>
      <w:r w:rsidR="00415D2A" w:rsidRPr="00415D2A">
        <w:rPr>
          <w:szCs w:val="24"/>
        </w:rPr>
        <w:t xml:space="preserve"> 145 (Comm. Print 1965) (Statement of Barbara Ringer, </w:t>
      </w:r>
      <w:r>
        <w:rPr>
          <w:szCs w:val="24"/>
        </w:rPr>
        <w:t xml:space="preserve">official in Copyright </w:t>
      </w:r>
      <w:r>
        <w:rPr>
          <w:szCs w:val="24"/>
        </w:rPr>
        <w:lastRenderedPageBreak/>
        <w:t>Office</w:t>
      </w:r>
      <w:r w:rsidR="00415D2A" w:rsidRPr="00415D2A">
        <w:rPr>
          <w:szCs w:val="24"/>
        </w:rPr>
        <w:t>).</w:t>
      </w:r>
      <w:r>
        <w:rPr>
          <w:szCs w:val="24"/>
        </w:rPr>
        <w:t xml:space="preserve"> </w:t>
      </w:r>
      <w:r w:rsidR="002866D7">
        <w:rPr>
          <w:szCs w:val="24"/>
        </w:rPr>
        <w:t xml:space="preserve">Because Congress deferred to the Copyright Office </w:t>
      </w:r>
      <w:r w:rsidR="000E12B1">
        <w:rPr>
          <w:szCs w:val="24"/>
        </w:rPr>
        <w:t>in</w:t>
      </w:r>
      <w:r w:rsidR="002866D7">
        <w:rPr>
          <w:szCs w:val="24"/>
        </w:rPr>
        <w:t xml:space="preserve"> drafting of the Act, the court should also defer to her interpretation of the works made for hire provision. </w:t>
      </w:r>
      <w:r w:rsidR="00415D2A">
        <w:rPr>
          <w:szCs w:val="24"/>
        </w:rPr>
        <w:t xml:space="preserve"> </w:t>
      </w:r>
    </w:p>
    <w:p w14:paraId="2ED35DAC" w14:textId="17EA46F1" w:rsidR="00C845EC" w:rsidRDefault="00392D30" w:rsidP="006E1956">
      <w:pPr>
        <w:ind w:firstLine="720"/>
        <w:rPr>
          <w:szCs w:val="24"/>
        </w:rPr>
      </w:pPr>
      <w:r>
        <w:rPr>
          <w:szCs w:val="24"/>
        </w:rPr>
        <w:t xml:space="preserve">The Copyright Act of 1976 was a </w:t>
      </w:r>
      <w:r w:rsidR="00A415FD">
        <w:rPr>
          <w:szCs w:val="24"/>
        </w:rPr>
        <w:t xml:space="preserve">complete revision of the 1909 Act, </w:t>
      </w:r>
      <w:r w:rsidR="00BF2D28">
        <w:rPr>
          <w:szCs w:val="24"/>
        </w:rPr>
        <w:t xml:space="preserve">and the works </w:t>
      </w:r>
      <w:r w:rsidR="0028299B">
        <w:rPr>
          <w:szCs w:val="24"/>
        </w:rPr>
        <w:t xml:space="preserve">made for hire provision in particular needed revising in order to abrogate the judicial interpretation </w:t>
      </w:r>
      <w:r w:rsidR="009E5FC7">
        <w:rPr>
          <w:szCs w:val="24"/>
        </w:rPr>
        <w:t xml:space="preserve">of the earlier works made for hire provision. Although the 1909 Act did not stipulate it, courts created a presumption </w:t>
      </w:r>
      <w:r w:rsidR="0028299B">
        <w:rPr>
          <w:szCs w:val="24"/>
        </w:rPr>
        <w:t xml:space="preserve">that </w:t>
      </w:r>
      <w:r w:rsidR="009E5FC7">
        <w:rPr>
          <w:szCs w:val="24"/>
        </w:rPr>
        <w:t xml:space="preserve">a party that commissions a work at their “instance or expense” was the initial and sole owner of the work, absent any agreement that the creator would be the owner. </w:t>
      </w:r>
      <w:proofErr w:type="gramStart"/>
      <w:r w:rsidR="009E5FC7">
        <w:rPr>
          <w:szCs w:val="24"/>
        </w:rPr>
        <w:t xml:space="preserve">Salzmann, </w:t>
      </w:r>
      <w:r w:rsidR="009E5FC7">
        <w:rPr>
          <w:i/>
          <w:szCs w:val="24"/>
        </w:rPr>
        <w:t xml:space="preserve">supra, </w:t>
      </w:r>
      <w:r w:rsidR="009E5FC7">
        <w:rPr>
          <w:szCs w:val="24"/>
        </w:rPr>
        <w:t>at 501-02.</w:t>
      </w:r>
      <w:proofErr w:type="gramEnd"/>
      <w:r w:rsidR="009E5FC7">
        <w:rPr>
          <w:szCs w:val="24"/>
        </w:rPr>
        <w:t xml:space="preserve"> </w:t>
      </w:r>
      <w:r w:rsidR="00D55FF6" w:rsidRPr="009E5FC7">
        <w:rPr>
          <w:szCs w:val="24"/>
        </w:rPr>
        <w:t>The</w:t>
      </w:r>
      <w:r w:rsidR="00D55FF6">
        <w:rPr>
          <w:szCs w:val="24"/>
        </w:rPr>
        <w:t xml:space="preserve"> Act is primarily the result of compromises between the various interest groups that are most concerned</w:t>
      </w:r>
      <w:r w:rsidR="0098407A">
        <w:rPr>
          <w:szCs w:val="24"/>
        </w:rPr>
        <w:t xml:space="preserve"> with copyright issues, such as </w:t>
      </w:r>
      <w:r w:rsidR="00D55FF6">
        <w:rPr>
          <w:szCs w:val="24"/>
        </w:rPr>
        <w:t xml:space="preserve">publishers, motion picture studios, artists, and authors. </w:t>
      </w:r>
      <w:r w:rsidR="00927BAE" w:rsidRPr="00671E7F">
        <w:t xml:space="preserve">Jessica D. Littman, </w:t>
      </w:r>
      <w:r w:rsidR="00927BAE" w:rsidRPr="00671E7F">
        <w:rPr>
          <w:i/>
        </w:rPr>
        <w:t>Copyright, Compromise, and Legislative History</w:t>
      </w:r>
      <w:r w:rsidR="00927BAE">
        <w:t>, 72 Cornell L. Rev. 857, 860-61 (1987)</w:t>
      </w:r>
      <w:r w:rsidR="00927BAE" w:rsidRPr="00671E7F">
        <w:t>.</w:t>
      </w:r>
      <w:r w:rsidR="00927BAE">
        <w:t xml:space="preserve"> </w:t>
      </w:r>
      <w:r w:rsidR="00CE0C3C">
        <w:rPr>
          <w:szCs w:val="24"/>
        </w:rPr>
        <w:t xml:space="preserve">The Copyright Office worked with these groups to facilitate the compromises and draft the statutory language </w:t>
      </w:r>
      <w:r w:rsidR="00C33FFF">
        <w:rPr>
          <w:szCs w:val="24"/>
        </w:rPr>
        <w:t xml:space="preserve">so that it suited all sides. </w:t>
      </w:r>
      <w:proofErr w:type="gramStart"/>
      <w:r w:rsidR="00C33FFF">
        <w:rPr>
          <w:i/>
          <w:szCs w:val="24"/>
        </w:rPr>
        <w:t>Id.</w:t>
      </w:r>
      <w:r w:rsidR="00C33FFF">
        <w:rPr>
          <w:szCs w:val="24"/>
        </w:rPr>
        <w:t xml:space="preserve"> at 860-61.</w:t>
      </w:r>
      <w:proofErr w:type="gramEnd"/>
      <w:r w:rsidR="00C33FFF">
        <w:rPr>
          <w:szCs w:val="24"/>
        </w:rPr>
        <w:t xml:space="preserve"> </w:t>
      </w:r>
      <w:r w:rsidR="00555A2A">
        <w:rPr>
          <w:szCs w:val="24"/>
        </w:rPr>
        <w:t>The Copyright Office then introduced the draft language to Congress, and in the case of the ownership provisions</w:t>
      </w:r>
      <w:r w:rsidR="00D30A45">
        <w:rPr>
          <w:szCs w:val="24"/>
        </w:rPr>
        <w:t>,</w:t>
      </w:r>
      <w:r w:rsidR="00F647C5">
        <w:rPr>
          <w:szCs w:val="24"/>
        </w:rPr>
        <w:t xml:space="preserve"> </w:t>
      </w:r>
      <w:r w:rsidR="00555A2A">
        <w:rPr>
          <w:szCs w:val="24"/>
        </w:rPr>
        <w:t>which include works-made-for-hire, Congress “enacted the relevant provisions essentially without change</w:t>
      </w:r>
      <w:r w:rsidR="00D30A45">
        <w:rPr>
          <w:szCs w:val="24"/>
        </w:rPr>
        <w:t>,</w:t>
      </w:r>
      <w:r w:rsidR="00555A2A">
        <w:rPr>
          <w:szCs w:val="24"/>
        </w:rPr>
        <w:t xml:space="preserve">” </w:t>
      </w:r>
      <w:r w:rsidR="00555A2A">
        <w:rPr>
          <w:i/>
          <w:szCs w:val="24"/>
        </w:rPr>
        <w:t>Id.</w:t>
      </w:r>
      <w:r w:rsidR="00555A2A">
        <w:rPr>
          <w:szCs w:val="24"/>
        </w:rPr>
        <w:t xml:space="preserve"> at 868</w:t>
      </w:r>
      <w:r w:rsidR="00D30A45">
        <w:rPr>
          <w:szCs w:val="24"/>
        </w:rPr>
        <w:t>,</w:t>
      </w:r>
      <w:r w:rsidR="00555A2A">
        <w:rPr>
          <w:szCs w:val="24"/>
        </w:rPr>
        <w:t xml:space="preserve"> because they believed that “in this area of law, the solution of compromise was the best solution.”</w:t>
      </w:r>
      <w:r w:rsidR="00FA5D7F">
        <w:rPr>
          <w:szCs w:val="24"/>
        </w:rPr>
        <w:t xml:space="preserve"> Ringer’s statement is the best evidence of what the industry groups envisioned when they struck the compromise on the works-made-for-hire provision, and it was Congress’ intent to preserve these compromises in the legislation to meet the needs of all interested parties. </w:t>
      </w:r>
      <w:r w:rsidR="00555A2A">
        <w:rPr>
          <w:szCs w:val="24"/>
        </w:rPr>
        <w:t xml:space="preserve"> </w:t>
      </w:r>
      <w:proofErr w:type="gramStart"/>
      <w:r w:rsidR="00555A2A">
        <w:rPr>
          <w:i/>
          <w:szCs w:val="24"/>
        </w:rPr>
        <w:t xml:space="preserve">Id. </w:t>
      </w:r>
      <w:r w:rsidR="003D59DB">
        <w:rPr>
          <w:szCs w:val="24"/>
        </w:rPr>
        <w:t>at 862.</w:t>
      </w:r>
      <w:proofErr w:type="gramEnd"/>
      <w:r w:rsidR="003D59DB">
        <w:rPr>
          <w:szCs w:val="24"/>
        </w:rPr>
        <w:t xml:space="preserve"> </w:t>
      </w:r>
      <w:r w:rsidR="00D37082">
        <w:rPr>
          <w:szCs w:val="24"/>
        </w:rPr>
        <w:t xml:space="preserve">Ringer was a central player in the revision for over twenty years, and was </w:t>
      </w:r>
      <w:r w:rsidR="006E1956">
        <w:rPr>
          <w:szCs w:val="24"/>
        </w:rPr>
        <w:t xml:space="preserve">awarded the President's Award for </w:t>
      </w:r>
      <w:r w:rsidR="006E1956" w:rsidRPr="006E1956">
        <w:rPr>
          <w:szCs w:val="24"/>
        </w:rPr>
        <w:t>Distinguished Federal Civilian Service</w:t>
      </w:r>
      <w:r w:rsidR="006E1956">
        <w:rPr>
          <w:szCs w:val="24"/>
        </w:rPr>
        <w:t xml:space="preserve">, the highest award that recognizes exceptional accomplishment in federal service, for her contribution to the 1976 revision. Judith </w:t>
      </w:r>
      <w:proofErr w:type="spellStart"/>
      <w:r w:rsidR="006E1956">
        <w:rPr>
          <w:szCs w:val="24"/>
        </w:rPr>
        <w:t>Nierman</w:t>
      </w:r>
      <w:proofErr w:type="spellEnd"/>
      <w:r w:rsidR="006E1956">
        <w:rPr>
          <w:szCs w:val="24"/>
        </w:rPr>
        <w:t xml:space="preserve">, </w:t>
      </w:r>
      <w:r w:rsidR="006E1956">
        <w:rPr>
          <w:i/>
          <w:szCs w:val="24"/>
        </w:rPr>
        <w:t xml:space="preserve">Barbara Ringer, Ninth Register of Copyrights, </w:t>
      </w:r>
      <w:r w:rsidR="006E1956" w:rsidRPr="00EB507B">
        <w:rPr>
          <w:i/>
          <w:szCs w:val="24"/>
        </w:rPr>
        <w:t>Dies</w:t>
      </w:r>
      <w:r w:rsidR="00EB507B">
        <w:rPr>
          <w:szCs w:val="24"/>
        </w:rPr>
        <w:t xml:space="preserve">, Copyright Notices Special Edition, </w:t>
      </w:r>
      <w:r w:rsidR="00900752">
        <w:rPr>
          <w:szCs w:val="24"/>
        </w:rPr>
        <w:t xml:space="preserve">2, </w:t>
      </w:r>
      <w:r w:rsidR="00EB507B">
        <w:rPr>
          <w:szCs w:val="24"/>
        </w:rPr>
        <w:t xml:space="preserve">April 2009, </w:t>
      </w:r>
      <w:r w:rsidR="00D76ED4" w:rsidRPr="005B52B1">
        <w:rPr>
          <w:szCs w:val="24"/>
        </w:rPr>
        <w:t>http://w</w:t>
      </w:r>
      <w:r w:rsidR="00EB507B" w:rsidRPr="00EB507B">
        <w:rPr>
          <w:szCs w:val="24"/>
        </w:rPr>
        <w:t>ww.copyright.gov/history/bios/</w:t>
      </w:r>
      <w:r w:rsidR="00EB507B">
        <w:rPr>
          <w:szCs w:val="24"/>
        </w:rPr>
        <w:t xml:space="preserve"> </w:t>
      </w:r>
      <w:r w:rsidR="00EB507B" w:rsidRPr="00EB507B">
        <w:rPr>
          <w:szCs w:val="24"/>
        </w:rPr>
        <w:lastRenderedPageBreak/>
        <w:t>barabara-ringer-special-edition-2009-04.pdf</w:t>
      </w:r>
      <w:r w:rsidR="00EB507B">
        <w:rPr>
          <w:szCs w:val="24"/>
        </w:rPr>
        <w:t xml:space="preserve">. </w:t>
      </w:r>
      <w:r w:rsidR="00F647C5">
        <w:rPr>
          <w:szCs w:val="24"/>
        </w:rPr>
        <w:t>The</w:t>
      </w:r>
      <w:r w:rsidR="00581CE2">
        <w:rPr>
          <w:szCs w:val="24"/>
        </w:rPr>
        <w:t xml:space="preserve"> court should follow Ringer’s interpretation of the works-made-for-hire provision, because </w:t>
      </w:r>
      <w:r w:rsidR="0098407A">
        <w:rPr>
          <w:szCs w:val="24"/>
        </w:rPr>
        <w:t>Congress was following Ringer’s interpretation when they enacted The Copyright Act</w:t>
      </w:r>
      <w:r w:rsidR="00581CE2">
        <w:rPr>
          <w:szCs w:val="24"/>
        </w:rPr>
        <w:t xml:space="preserve">. </w:t>
      </w:r>
    </w:p>
    <w:p w14:paraId="7DBD5384" w14:textId="1AAB5A2D" w:rsidR="00C33FFF" w:rsidRPr="00724AAF" w:rsidRDefault="00743B73" w:rsidP="00415D2A">
      <w:pPr>
        <w:ind w:firstLine="720"/>
        <w:rPr>
          <w:szCs w:val="24"/>
        </w:rPr>
      </w:pPr>
      <w:r>
        <w:rPr>
          <w:szCs w:val="24"/>
        </w:rPr>
        <w:t>This would no</w:t>
      </w:r>
      <w:r w:rsidR="0098407A">
        <w:rPr>
          <w:szCs w:val="24"/>
        </w:rPr>
        <w:t>t be the first instance of the C</w:t>
      </w:r>
      <w:r>
        <w:rPr>
          <w:szCs w:val="24"/>
        </w:rPr>
        <w:t xml:space="preserve">ourt using Barbara Ringer’s interpretation of The Copyright Act as evidence of Congressional intent. </w:t>
      </w:r>
      <w:r w:rsidR="00724AAF">
        <w:rPr>
          <w:szCs w:val="24"/>
        </w:rPr>
        <w:t xml:space="preserve">The Supreme Court </w:t>
      </w:r>
      <w:r w:rsidR="003663AC">
        <w:rPr>
          <w:szCs w:val="24"/>
        </w:rPr>
        <w:t xml:space="preserve">has </w:t>
      </w:r>
      <w:r w:rsidR="00B3423D">
        <w:rPr>
          <w:szCs w:val="24"/>
        </w:rPr>
        <w:t>quoted</w:t>
      </w:r>
      <w:r w:rsidR="00724AAF">
        <w:rPr>
          <w:szCs w:val="24"/>
        </w:rPr>
        <w:t xml:space="preserve"> Ringer’s </w:t>
      </w:r>
      <w:r w:rsidR="00257408">
        <w:rPr>
          <w:szCs w:val="24"/>
        </w:rPr>
        <w:t>testimony regarding</w:t>
      </w:r>
      <w:r w:rsidR="003663AC">
        <w:rPr>
          <w:szCs w:val="24"/>
        </w:rPr>
        <w:t xml:space="preserve"> a different area of the act</w:t>
      </w:r>
      <w:r w:rsidR="00724AAF">
        <w:rPr>
          <w:szCs w:val="24"/>
        </w:rPr>
        <w:t xml:space="preserve"> to </w:t>
      </w:r>
      <w:r w:rsidR="00B3423D">
        <w:rPr>
          <w:szCs w:val="24"/>
        </w:rPr>
        <w:t>show what Congress intended the legislation to mean</w:t>
      </w:r>
      <w:r w:rsidR="00257408">
        <w:rPr>
          <w:szCs w:val="24"/>
        </w:rPr>
        <w:t xml:space="preserve">. </w:t>
      </w:r>
      <w:r w:rsidR="00724AAF" w:rsidRPr="00724AAF">
        <w:rPr>
          <w:i/>
          <w:szCs w:val="24"/>
        </w:rPr>
        <w:t>Sony Corp. of America v. Universal City Studios, Inc.</w:t>
      </w:r>
      <w:r w:rsidR="00724AAF">
        <w:rPr>
          <w:szCs w:val="24"/>
        </w:rPr>
        <w:t xml:space="preserve">, </w:t>
      </w:r>
      <w:r w:rsidR="00724AAF" w:rsidRPr="00724AAF">
        <w:rPr>
          <w:szCs w:val="24"/>
        </w:rPr>
        <w:t>464 U.S. 417</w:t>
      </w:r>
      <w:r w:rsidR="00724AAF">
        <w:rPr>
          <w:szCs w:val="24"/>
        </w:rPr>
        <w:t>, 473 (1984)</w:t>
      </w:r>
      <w:r w:rsidR="00B3423D">
        <w:rPr>
          <w:szCs w:val="24"/>
        </w:rPr>
        <w:t>. (“</w:t>
      </w:r>
      <w:r w:rsidR="00B3423D">
        <w:t>To quote Assistant Register Ringer again, home use was ‘not what this legislation [was] addressed to.’”)</w:t>
      </w:r>
      <w:r w:rsidR="00D324BB">
        <w:rPr>
          <w:szCs w:val="24"/>
        </w:rPr>
        <w:t xml:space="preserve"> </w:t>
      </w:r>
      <w:r w:rsidR="00F52479">
        <w:rPr>
          <w:szCs w:val="24"/>
        </w:rPr>
        <w:t>The Supreme Court considered a statement by Ringer</w:t>
      </w:r>
      <w:r w:rsidR="00A2354D">
        <w:rPr>
          <w:szCs w:val="24"/>
        </w:rPr>
        <w:t xml:space="preserve"> to be</w:t>
      </w:r>
      <w:r w:rsidR="00F52479">
        <w:rPr>
          <w:szCs w:val="24"/>
        </w:rPr>
        <w:t xml:space="preserve"> enough evidence to show what Congress </w:t>
      </w:r>
      <w:r w:rsidR="00257408">
        <w:rPr>
          <w:szCs w:val="24"/>
        </w:rPr>
        <w:t>intended</w:t>
      </w:r>
      <w:r w:rsidR="00F52479">
        <w:rPr>
          <w:szCs w:val="24"/>
        </w:rPr>
        <w:t xml:space="preserve">, so the court should </w:t>
      </w:r>
      <w:r w:rsidR="00A2354D">
        <w:rPr>
          <w:szCs w:val="24"/>
        </w:rPr>
        <w:t xml:space="preserve">follow Supreme Court </w:t>
      </w:r>
      <w:r w:rsidR="00257408">
        <w:rPr>
          <w:szCs w:val="24"/>
        </w:rPr>
        <w:t xml:space="preserve">precedent </w:t>
      </w:r>
      <w:r w:rsidR="00A2354D">
        <w:rPr>
          <w:szCs w:val="24"/>
        </w:rPr>
        <w:t xml:space="preserve">and use Ringer’s testimony as evidence that Congress </w:t>
      </w:r>
      <w:r w:rsidR="00257408">
        <w:rPr>
          <w:szCs w:val="24"/>
        </w:rPr>
        <w:t>intended that the written instrument be signed before the work is created to be valid</w:t>
      </w:r>
      <w:r w:rsidR="00A2354D">
        <w:rPr>
          <w:szCs w:val="24"/>
        </w:rPr>
        <w:t xml:space="preserve">. </w:t>
      </w:r>
    </w:p>
    <w:p w14:paraId="6339EC75" w14:textId="77777777" w:rsidR="00DB58F1" w:rsidRPr="00DB58F1" w:rsidRDefault="00DB58F1" w:rsidP="00DB58F1">
      <w:pPr>
        <w:pStyle w:val="ListParagraph"/>
        <w:numPr>
          <w:ilvl w:val="0"/>
          <w:numId w:val="4"/>
        </w:numPr>
        <w:spacing w:line="240" w:lineRule="auto"/>
        <w:ind w:left="1440" w:hanging="720"/>
        <w:rPr>
          <w:b/>
        </w:rPr>
      </w:pPr>
      <w:r>
        <w:rPr>
          <w:b/>
        </w:rPr>
        <w:t>Requiring</w:t>
      </w:r>
      <w:r w:rsidRPr="00DB58F1">
        <w:rPr>
          <w:b/>
        </w:rPr>
        <w:t xml:space="preserve"> the written agreement to be signed prior to creation of work is the </w:t>
      </w:r>
      <w:r w:rsidR="002A67DD">
        <w:rPr>
          <w:b/>
        </w:rPr>
        <w:t>only</w:t>
      </w:r>
      <w:r w:rsidRPr="00DB58F1">
        <w:rPr>
          <w:b/>
        </w:rPr>
        <w:t xml:space="preserve"> way to </w:t>
      </w:r>
      <w:r w:rsidR="007266BB">
        <w:rPr>
          <w:b/>
        </w:rPr>
        <w:t>effectively enhance</w:t>
      </w:r>
      <w:r w:rsidRPr="00DB58F1">
        <w:rPr>
          <w:b/>
        </w:rPr>
        <w:t xml:space="preserve"> certainty</w:t>
      </w:r>
      <w:r>
        <w:rPr>
          <w:b/>
        </w:rPr>
        <w:t xml:space="preserve"> and predictability in the works-made-for-hire provision</w:t>
      </w:r>
      <w:r w:rsidRPr="00DB58F1">
        <w:rPr>
          <w:b/>
        </w:rPr>
        <w:t xml:space="preserve">. </w:t>
      </w:r>
    </w:p>
    <w:p w14:paraId="403127EF" w14:textId="77777777" w:rsidR="0088666E" w:rsidRPr="0088666E" w:rsidRDefault="0088666E" w:rsidP="00DB58F1">
      <w:pPr>
        <w:pStyle w:val="ListParagraph"/>
        <w:spacing w:line="240" w:lineRule="auto"/>
        <w:ind w:left="1440"/>
        <w:rPr>
          <w:b/>
        </w:rPr>
      </w:pPr>
    </w:p>
    <w:p w14:paraId="3058D83F" w14:textId="61D6F8C1" w:rsidR="00FE5E6F" w:rsidRDefault="00A57717" w:rsidP="00A57717">
      <w:pPr>
        <w:pStyle w:val="ListParagraph"/>
        <w:ind w:left="0" w:firstLine="720"/>
      </w:pPr>
      <w:r>
        <w:t xml:space="preserve">The Supreme Court has stated that Congress’ “paramount” goal in the 1976 Act was to enhance “predictability and certainty of copyright ownership.” </w:t>
      </w:r>
      <w:proofErr w:type="gramStart"/>
      <w:r>
        <w:rPr>
          <w:i/>
        </w:rPr>
        <w:t>Community for Creative Non-Violence v. Reid</w:t>
      </w:r>
      <w:r>
        <w:t>, 490 U.S. 730, 749 (1989).</w:t>
      </w:r>
      <w:proofErr w:type="gramEnd"/>
      <w:r w:rsidR="006143FF">
        <w:t xml:space="preserve"> </w:t>
      </w:r>
      <w:r>
        <w:t xml:space="preserve"> </w:t>
      </w:r>
      <w:r w:rsidR="006143FF">
        <w:t xml:space="preserve">The circuits are split over whether a </w:t>
      </w:r>
      <w:r w:rsidR="00BF2D28">
        <w:t>work made for hire</w:t>
      </w:r>
      <w:r w:rsidR="006143FF">
        <w:t xml:space="preserve"> agreement signed after the creation of the work adequately ensures certainty </w:t>
      </w:r>
      <w:r w:rsidR="00B01D21">
        <w:t xml:space="preserve">and predictability </w:t>
      </w:r>
      <w:r w:rsidR="006143FF">
        <w:t>of ownership. According to the Seventh Circuit, the purpose of the writing requirement is to “identify the (</w:t>
      </w:r>
      <w:proofErr w:type="spellStart"/>
      <w:r w:rsidR="006143FF">
        <w:t>noncreator</w:t>
      </w:r>
      <w:proofErr w:type="spellEnd"/>
      <w:r w:rsidR="006143FF">
        <w:t xml:space="preserve">) owner unequivocally.” </w:t>
      </w:r>
      <w:proofErr w:type="gramStart"/>
      <w:r w:rsidR="006143FF">
        <w:rPr>
          <w:i/>
        </w:rPr>
        <w:t xml:space="preserve">Id. </w:t>
      </w:r>
      <w:r w:rsidR="006143FF">
        <w:t>at 413.</w:t>
      </w:r>
      <w:proofErr w:type="gramEnd"/>
      <w:r w:rsidR="006143FF">
        <w:t xml:space="preserve"> The court reasoned that the only way to fulfill this purpose is to mandate that the writing is executed before the work is created. </w:t>
      </w:r>
      <w:proofErr w:type="gramStart"/>
      <w:r w:rsidR="006143FF">
        <w:rPr>
          <w:i/>
        </w:rPr>
        <w:t xml:space="preserve">Id. </w:t>
      </w:r>
      <w:r w:rsidR="006143FF">
        <w:t>at 413.</w:t>
      </w:r>
      <w:proofErr w:type="gramEnd"/>
      <w:r w:rsidR="006143FF">
        <w:t xml:space="preserve"> The Second Circuit acknowledges the importance of identifying the owner of the copyright</w:t>
      </w:r>
      <w:r w:rsidR="000E12B1">
        <w:t xml:space="preserve"> before creation</w:t>
      </w:r>
      <w:r w:rsidR="006143FF">
        <w:t xml:space="preserve">, but has decided that a written </w:t>
      </w:r>
      <w:r w:rsidR="00BF2D28">
        <w:t>work made for hire</w:t>
      </w:r>
      <w:r w:rsidR="006143FF">
        <w:t xml:space="preserve"> agreement </w:t>
      </w:r>
      <w:r w:rsidR="006143FF">
        <w:lastRenderedPageBreak/>
        <w:t xml:space="preserve">executed </w:t>
      </w:r>
      <w:r w:rsidR="000E12B1">
        <w:t xml:space="preserve">after </w:t>
      </w:r>
      <w:r w:rsidR="006143FF">
        <w:t xml:space="preserve">creation is sufficient if it confirms an earlier explicit or implicit agreement. </w:t>
      </w:r>
      <w:proofErr w:type="gramStart"/>
      <w:r w:rsidR="006143FF">
        <w:rPr>
          <w:i/>
        </w:rPr>
        <w:t>Playboy</w:t>
      </w:r>
      <w:r w:rsidR="006143FF">
        <w:t xml:space="preserve">, 53 F.3d </w:t>
      </w:r>
      <w:r w:rsidR="00C61453">
        <w:t>at</w:t>
      </w:r>
      <w:r w:rsidR="006143FF">
        <w:rPr>
          <w:i/>
        </w:rPr>
        <w:t xml:space="preserve"> </w:t>
      </w:r>
      <w:r w:rsidR="006143FF" w:rsidRPr="00CE7E5B">
        <w:t>559</w:t>
      </w:r>
      <w:r w:rsidR="006143FF">
        <w:t>.</w:t>
      </w:r>
      <w:proofErr w:type="gramEnd"/>
      <w:r w:rsidR="006143FF">
        <w:t xml:space="preserve"> However, the Second Circuit’s approach is contrary to Congress’ intent for the provision. </w:t>
      </w:r>
      <w:r w:rsidR="00995AED">
        <w:t xml:space="preserve">Requiring the work made for hire agreement to be signed prior to creation </w:t>
      </w:r>
      <w:r w:rsidR="0005443E">
        <w:t xml:space="preserve">is the only way to truly ensure </w:t>
      </w:r>
      <w:r w:rsidR="006143FF">
        <w:t>Congress’</w:t>
      </w:r>
      <w:r w:rsidR="00995AED">
        <w:t xml:space="preserve"> goals </w:t>
      </w:r>
      <w:r w:rsidR="0005443E">
        <w:t xml:space="preserve">of certainty and predictability. </w:t>
      </w:r>
      <w:r w:rsidR="00995AED">
        <w:t xml:space="preserve"> </w:t>
      </w:r>
      <w:r w:rsidR="0005443E">
        <w:t xml:space="preserve">Signing the instrument pre-creation </w:t>
      </w:r>
      <w:r w:rsidR="001C6B3D">
        <w:t>explicitly identifies</w:t>
      </w:r>
      <w:r w:rsidR="00995AED">
        <w:t xml:space="preserve"> the owner from the beginning</w:t>
      </w:r>
      <w:r w:rsidR="001C6B3D">
        <w:t xml:space="preserve">, </w:t>
      </w:r>
      <w:r w:rsidR="00A65C3C">
        <w:t>so the work can be immediately marketed</w:t>
      </w:r>
      <w:r w:rsidR="00995AED">
        <w:t xml:space="preserve">. </w:t>
      </w:r>
      <w:r w:rsidR="00CC4205">
        <w:t>In addition, a bright line rule for this issue mirrors Congress’ approach to the rest of the provision</w:t>
      </w:r>
      <w:r w:rsidR="00D7693B">
        <w:t xml:space="preserve"> and is consistent with their intent to enhance certainty and predictability</w:t>
      </w:r>
      <w:r w:rsidR="00995AED">
        <w:t xml:space="preserve">. Lastly, as a policy matter, </w:t>
      </w:r>
      <w:r w:rsidR="00CC4205">
        <w:t xml:space="preserve">requiring the writing to be signed before creation </w:t>
      </w:r>
      <w:r w:rsidR="004C3C70">
        <w:t xml:space="preserve">benefits all parties, including courts, by </w:t>
      </w:r>
      <w:r w:rsidR="00995AED">
        <w:t>avoid</w:t>
      </w:r>
      <w:r w:rsidR="004C3C70">
        <w:t>ing</w:t>
      </w:r>
      <w:r w:rsidR="00995AED">
        <w:t xml:space="preserve"> the need for </w:t>
      </w:r>
      <w:r w:rsidR="004C3C70">
        <w:t xml:space="preserve">costly litigation and </w:t>
      </w:r>
      <w:r w:rsidR="009D584B">
        <w:t xml:space="preserve">difficult </w:t>
      </w:r>
      <w:r w:rsidR="00995AED">
        <w:t xml:space="preserve">fact-finding </w:t>
      </w:r>
      <w:r w:rsidR="009D584B">
        <w:t xml:space="preserve">to determine the nature of the agreement. </w:t>
      </w:r>
    </w:p>
    <w:p w14:paraId="26333031" w14:textId="04BF044D" w:rsidR="001C6B3D" w:rsidRDefault="001C6B3D" w:rsidP="00A57717">
      <w:pPr>
        <w:pStyle w:val="ListParagraph"/>
        <w:ind w:left="0" w:firstLine="720"/>
      </w:pPr>
      <w:r>
        <w:t>Ensuring certainty of ownership is particularly important for works made for hire so</w:t>
      </w:r>
      <w:r w:rsidR="00B3340F">
        <w:t xml:space="preserve"> that the creation will be “readily marketable.” </w:t>
      </w:r>
      <w:r w:rsidR="00B3340F">
        <w:rPr>
          <w:i/>
        </w:rPr>
        <w:t xml:space="preserve">Schiller &amp; Schmidt, Inc. v. </w:t>
      </w:r>
      <w:proofErr w:type="spellStart"/>
      <w:r w:rsidR="00B3340F">
        <w:rPr>
          <w:i/>
        </w:rPr>
        <w:t>Nordisco</w:t>
      </w:r>
      <w:proofErr w:type="spellEnd"/>
      <w:r w:rsidR="00B3340F">
        <w:rPr>
          <w:i/>
        </w:rPr>
        <w:t xml:space="preserve"> Corp.</w:t>
      </w:r>
      <w:r w:rsidR="00B3340F">
        <w:t>, 969 F.2d 410, 412 (7th Cir. 1992).</w:t>
      </w:r>
      <w:r w:rsidR="00FE5E6F">
        <w:t xml:space="preserve"> </w:t>
      </w:r>
      <w:r w:rsidR="00B3340F">
        <w:t xml:space="preserve"> </w:t>
      </w:r>
      <w:r w:rsidR="00FE5E6F">
        <w:t xml:space="preserve">Allowing the parties to sign the agreement post-creation results in confusion as to the proper owner of the work, because the owner is unclear during the time between creation and execution of the agreement. </w:t>
      </w:r>
      <w:r>
        <w:t xml:space="preserve">Technically the creator owns the copyright, because the writing requirement has not been fulfilled. But if there was an implicit agreement, then </w:t>
      </w:r>
      <w:r w:rsidR="000E12B1">
        <w:t xml:space="preserve">under the Second Circuit’s interpretation </w:t>
      </w:r>
      <w:r>
        <w:t xml:space="preserve">the commissioning party </w:t>
      </w:r>
      <w:r w:rsidR="000E12B1">
        <w:t>could</w:t>
      </w:r>
      <w:r>
        <w:t xml:space="preserve"> argue that they were going to execute the writing eventually, and therefore should be considered the owner. Before the agreement is signed</w:t>
      </w:r>
      <w:r w:rsidR="00FE5E6F">
        <w:t xml:space="preserve">, the work is not marketable </w:t>
      </w:r>
      <w:r>
        <w:t xml:space="preserve">because it is </w:t>
      </w:r>
      <w:r w:rsidR="005A670E">
        <w:t xml:space="preserve">unclear who has the rights to the work and thus who has the power to market it. </w:t>
      </w:r>
      <w:r w:rsidR="00215EB1">
        <w:t xml:space="preserve">The Second Circuit’s interpretation impedes Congress’ intent that works be readily marketable upon creation. </w:t>
      </w:r>
    </w:p>
    <w:p w14:paraId="463D07F4" w14:textId="3DE35A24" w:rsidR="00975FF0" w:rsidRDefault="00975FF0" w:rsidP="00975FF0">
      <w:pPr>
        <w:pStyle w:val="ListParagraph"/>
        <w:ind w:left="0" w:firstLine="720"/>
      </w:pPr>
      <w:r>
        <w:t xml:space="preserve">The </w:t>
      </w:r>
      <w:r w:rsidR="00E40ACA">
        <w:t>Second Circuit</w:t>
      </w:r>
      <w:r>
        <w:t xml:space="preserve"> chose to allow the writing to be signed post-creation if it confirmed an earlier agreement because it was concerned that having a bright line rule could “frustrate the </w:t>
      </w:r>
      <w:r>
        <w:lastRenderedPageBreak/>
        <w:t xml:space="preserve">intent of the parties” if they had a prior understanding that the commissioning party would be the owner. </w:t>
      </w:r>
      <w:proofErr w:type="gramStart"/>
      <w:r>
        <w:rPr>
          <w:i/>
        </w:rPr>
        <w:t xml:space="preserve">Id. </w:t>
      </w:r>
      <w:r>
        <w:t>at 559.</w:t>
      </w:r>
      <w:proofErr w:type="gramEnd"/>
      <w:r>
        <w:t xml:space="preserve"> However, failing to adopt the bright line rule in this case would frustrate the intent of Congress for the works-made-for-hire provision. When the goal of legislation is predictability and certainty in a particular area, bright line rules are the most effective way to ensure that all interested parties understand </w:t>
      </w:r>
      <w:r w:rsidR="00D7693B">
        <w:t xml:space="preserve">how to meet the requirements of </w:t>
      </w:r>
      <w:r>
        <w:t xml:space="preserve">the law and know what </w:t>
      </w:r>
      <w:r w:rsidR="00D7693B">
        <w:t>to expect from courts and each other</w:t>
      </w:r>
      <w:r>
        <w:t xml:space="preserve">. Congress </w:t>
      </w:r>
      <w:r w:rsidR="00A67614">
        <w:t>took the bright line approach to this provision by enumerating</w:t>
      </w:r>
      <w:r>
        <w:t xml:space="preserve"> </w:t>
      </w:r>
      <w:r w:rsidR="00A67614">
        <w:t xml:space="preserve">only </w:t>
      </w:r>
      <w:r>
        <w:t>nine categories of work that could qualify for works-made-for-hire</w:t>
      </w:r>
      <w:r w:rsidR="005A3A2D">
        <w:t xml:space="preserve"> (Salzmann, </w:t>
      </w:r>
      <w:r w:rsidR="005A3A2D">
        <w:rPr>
          <w:i/>
        </w:rPr>
        <w:t>supra</w:t>
      </w:r>
      <w:r w:rsidR="005A3A2D">
        <w:t>, at 516)</w:t>
      </w:r>
      <w:r w:rsidR="00A67614">
        <w:t xml:space="preserve">: </w:t>
      </w:r>
      <w:r w:rsidR="005A3A2D">
        <w:t xml:space="preserve">a </w:t>
      </w:r>
      <w:r w:rsidR="00A67614">
        <w:t>contribution to a collective work, a part of a motion picture or other audiovisual work, a translation, a supplementary work, a compilation, an instructional text, a test, answer material for a test, or an atlas. The Copyright Act of 1976, 17 U.S.C. § 101 (1976).</w:t>
      </w:r>
      <w:r>
        <w:t xml:space="preserve"> </w:t>
      </w:r>
      <w:r w:rsidR="005A3A2D">
        <w:t>Congress chose to narrow the scope of this provision by explicitly naming the only types of works that qualify for the provision, and in doing so demonstrated that they intended this prov</w:t>
      </w:r>
      <w:r w:rsidR="00D111D1">
        <w:t>ision to be clear and predictable.</w:t>
      </w:r>
      <w:r w:rsidR="002E6C55">
        <w:t xml:space="preserve"> </w:t>
      </w:r>
    </w:p>
    <w:p w14:paraId="2A74F3DD" w14:textId="14266DB7" w:rsidR="000F2B05" w:rsidRDefault="00C24F01" w:rsidP="000F2B05">
      <w:pPr>
        <w:pStyle w:val="ListParagraph"/>
        <w:ind w:left="0" w:firstLine="720"/>
      </w:pPr>
      <w:r>
        <w:t xml:space="preserve">Although </w:t>
      </w:r>
      <w:r w:rsidR="002A6C5A">
        <w:t>Plaintiff</w:t>
      </w:r>
      <w:r>
        <w:t>s will be reluctant to admit this, a bright line rule actually</w:t>
      </w:r>
      <w:r w:rsidR="000F2B05">
        <w:t xml:space="preserve"> benefits them in the long run. Parties know exactly when the law applies and when it does not, and can know that their actions will satisfy the clear guidelines specified by the law. </w:t>
      </w:r>
      <w:r w:rsidR="002A6C5A">
        <w:t>Plaintiff</w:t>
      </w:r>
      <w:r w:rsidR="000F2B05">
        <w:t xml:space="preserve">s could simply establish </w:t>
      </w:r>
      <w:r w:rsidR="000E12B1">
        <w:t xml:space="preserve">a policy that all works made for </w:t>
      </w:r>
      <w:r w:rsidR="000F2B05">
        <w:t xml:space="preserve">hire agreements be signed before the work is created, and then be confident in each transaction that they </w:t>
      </w:r>
      <w:r w:rsidR="000E12B1">
        <w:t>are</w:t>
      </w:r>
      <w:r w:rsidR="000F2B05">
        <w:t xml:space="preserve"> the rightful author and owner of the copyright. </w:t>
      </w:r>
      <w:r w:rsidR="002C7ED0">
        <w:t xml:space="preserve">As long as they </w:t>
      </w:r>
      <w:r w:rsidR="000E12B1">
        <w:t>comply</w:t>
      </w:r>
      <w:r w:rsidR="002C7ED0">
        <w:t xml:space="preserve"> with the straightforward prerequisites of the law, they can avoid needless litigation since</w:t>
      </w:r>
      <w:r w:rsidR="008C6303">
        <w:t xml:space="preserve"> courts can </w:t>
      </w:r>
      <w:r w:rsidR="000E12B1">
        <w:t>dispense with cases</w:t>
      </w:r>
      <w:r w:rsidR="008C6303">
        <w:t xml:space="preserve"> much more easily when </w:t>
      </w:r>
      <w:r w:rsidR="002C7ED0">
        <w:t xml:space="preserve">they have a clear law to apply. </w:t>
      </w:r>
    </w:p>
    <w:p w14:paraId="75E36627" w14:textId="5E8706B2" w:rsidR="007E6694" w:rsidRDefault="00C80471" w:rsidP="0033688D">
      <w:pPr>
        <w:pStyle w:val="ListParagraph"/>
        <w:ind w:left="0" w:firstLine="720"/>
      </w:pPr>
      <w:r>
        <w:t xml:space="preserve">If the court took the Second Circuit’s approach and allowed the writing to be signed post-creation if it confirmed an earlier implicit or explicit agreement, it would require courts to </w:t>
      </w:r>
      <w:r>
        <w:lastRenderedPageBreak/>
        <w:t>perform difficult fact</w:t>
      </w:r>
      <w:r w:rsidR="000B23B9">
        <w:t>-</w:t>
      </w:r>
      <w:r>
        <w:t xml:space="preserve">finding in order to decide whether an agreement existed. </w:t>
      </w:r>
      <w:r w:rsidR="00E41340">
        <w:t xml:space="preserve">This would involve conflicting testimony about the understanding that each party had about the nature of their relationship, and conclusive evidence would often rarely be available. </w:t>
      </w:r>
      <w:r>
        <w:t xml:space="preserve">It is important to note that OGS and other large corporations that regularly commission works may </w:t>
      </w:r>
      <w:r w:rsidR="007D01A1">
        <w:t>prefer</w:t>
      </w:r>
      <w:r>
        <w:t xml:space="preserve"> this approach because it </w:t>
      </w:r>
      <w:r w:rsidR="007D01A1">
        <w:t>favors</w:t>
      </w:r>
      <w:r>
        <w:t xml:space="preserve"> the party with the deeper pockets. The commissioning party usually has a much greater ability to engage in litigation, and </w:t>
      </w:r>
      <w:r w:rsidR="000E12B1">
        <w:t xml:space="preserve">this </w:t>
      </w:r>
      <w:r>
        <w:t xml:space="preserve">could undermine the bargain that interest groups negotiated in the drafting process. </w:t>
      </w:r>
      <w:r w:rsidR="00E41340">
        <w:t>“</w:t>
      </w:r>
      <w:r w:rsidR="00E41340" w:rsidRPr="00036444">
        <w:t xml:space="preserve">Thus, a flexible judicial </w:t>
      </w:r>
      <w:r w:rsidR="00E41340">
        <w:t xml:space="preserve">approach </w:t>
      </w:r>
      <w:r w:rsidR="00E41340" w:rsidRPr="00036444">
        <w:t>to ownership issues would be likely to shift the balance struck in the ownership compromise package in a consistent direction</w:t>
      </w:r>
      <w:r w:rsidR="00E41340">
        <w:t xml:space="preserve">: away from individual authors.” </w:t>
      </w:r>
      <w:proofErr w:type="gramStart"/>
      <w:r w:rsidR="00036444">
        <w:t>Littman</w:t>
      </w:r>
      <w:r w:rsidR="00D145EA">
        <w:t xml:space="preserve">, </w:t>
      </w:r>
      <w:r w:rsidR="00D145EA" w:rsidRPr="00D145EA">
        <w:rPr>
          <w:i/>
        </w:rPr>
        <w:t>supra</w:t>
      </w:r>
      <w:r w:rsidR="00D145EA">
        <w:t>, at 895 n.240.</w:t>
      </w:r>
      <w:proofErr w:type="gramEnd"/>
      <w:r w:rsidR="000E12B1">
        <w:t xml:space="preserve"> </w:t>
      </w:r>
      <w:r w:rsidR="00FC45DA">
        <w:t>Authors would be much less likely to prevail in ownership battles because of the disparity of funds, and therefore would be much more vulnerable to losing rights to their work even when they should prevail. In addition, b</w:t>
      </w:r>
      <w:r w:rsidR="000E12B1">
        <w:t xml:space="preserve">y abrogating the </w:t>
      </w:r>
      <w:r w:rsidR="002A5BBA">
        <w:t xml:space="preserve">court-created presumption </w:t>
      </w:r>
      <w:r w:rsidR="00FC45DA">
        <w:t>for</w:t>
      </w:r>
      <w:r w:rsidR="002A5BBA">
        <w:t xml:space="preserve"> works made for hire, Congress signaled </w:t>
      </w:r>
      <w:r w:rsidR="00FC45DA">
        <w:t>their</w:t>
      </w:r>
      <w:r w:rsidR="002A5BBA">
        <w:t xml:space="preserve"> intent to give creators more protection in these transactions.</w:t>
      </w:r>
      <w:r w:rsidR="00D145EA">
        <w:t xml:space="preserve"> </w:t>
      </w:r>
      <w:r w:rsidR="002A5BBA">
        <w:t>Failing to adopt a bright line rule would run contrary to that intent by placing creators at a severe disadvantage</w:t>
      </w:r>
      <w:r w:rsidR="00FC45DA">
        <w:t xml:space="preserve"> to commissioning parties</w:t>
      </w:r>
      <w:r w:rsidR="002A5BBA">
        <w:t xml:space="preserve">. </w:t>
      </w:r>
      <w:r w:rsidR="00F42273">
        <w:t xml:space="preserve">Congress intended to preserve the </w:t>
      </w:r>
      <w:r w:rsidR="00FC45DA">
        <w:t>delicate balance</w:t>
      </w:r>
      <w:r w:rsidR="00F42273">
        <w:t xml:space="preserve"> reached by the various interest groups</w:t>
      </w:r>
      <w:r w:rsidR="00012252">
        <w:t xml:space="preserve"> that was meant to equalize their relative positions</w:t>
      </w:r>
      <w:r w:rsidR="00F42273">
        <w:t xml:space="preserve">, and the court should follow Congress’ intent by rejecting the case-by-case approach and instituting a bright line rule. </w:t>
      </w:r>
    </w:p>
    <w:p w14:paraId="373703C6" w14:textId="77777777" w:rsidR="007E6694" w:rsidRDefault="007E6694" w:rsidP="007E6694">
      <w:pPr>
        <w:pStyle w:val="ListParagraph"/>
        <w:numPr>
          <w:ilvl w:val="0"/>
          <w:numId w:val="3"/>
        </w:numPr>
        <w:spacing w:line="240" w:lineRule="auto"/>
        <w:ind w:left="1440" w:hanging="720"/>
        <w:rPr>
          <w:b/>
        </w:rPr>
      </w:pPr>
      <w:r>
        <w:rPr>
          <w:b/>
        </w:rPr>
        <w:t xml:space="preserve">Since the Act has both criminal and noncriminal elements, the court should invoke the rule of lenity so that all parts of the statute are construed consistently. </w:t>
      </w:r>
    </w:p>
    <w:p w14:paraId="54988B9C" w14:textId="77777777" w:rsidR="007E6694" w:rsidRDefault="007E6694" w:rsidP="007E6694">
      <w:pPr>
        <w:pStyle w:val="ListParagraph"/>
        <w:spacing w:line="240" w:lineRule="auto"/>
        <w:ind w:left="1440"/>
        <w:rPr>
          <w:b/>
        </w:rPr>
      </w:pPr>
    </w:p>
    <w:p w14:paraId="7B30C0DA" w14:textId="0645FD4A" w:rsidR="007E6694" w:rsidRDefault="007E6694" w:rsidP="007E6694">
      <w:pPr>
        <w:pStyle w:val="ListParagraph"/>
        <w:ind w:left="0" w:firstLine="720"/>
      </w:pPr>
      <w:r>
        <w:t xml:space="preserve">If the court finds the statutory language ambiguous, the court should apply the rule of lenity, which dictates that courts should resolve ambiguities in criminal statutes in favor of the </w:t>
      </w:r>
      <w:r w:rsidR="002A6C5A">
        <w:t>Defendant</w:t>
      </w:r>
      <w:r>
        <w:t xml:space="preserve"> in order to “ensure both that there is fair warning of the boundaries of criminal conduct and that legislatures, not courts, define criminal liability.” </w:t>
      </w:r>
      <w:proofErr w:type="gramStart"/>
      <w:r>
        <w:rPr>
          <w:i/>
        </w:rPr>
        <w:t>Crandon v. U.S.</w:t>
      </w:r>
      <w:r>
        <w:t xml:space="preserve">, 494 U.S. </w:t>
      </w:r>
      <w:r>
        <w:lastRenderedPageBreak/>
        <w:t>152, 158 (1990).</w:t>
      </w:r>
      <w:proofErr w:type="gramEnd"/>
      <w:r>
        <w:t xml:space="preserve"> When a statute has both criminal and noncriminal elements, the court should apply the rule of lenity, “because we must interpret the statute consistently, whether we encounter its application in a criminal or noncriminal context.” </w:t>
      </w:r>
      <w:proofErr w:type="spellStart"/>
      <w:r w:rsidRPr="00AF76F5">
        <w:rPr>
          <w:i/>
        </w:rPr>
        <w:t>Leocal</w:t>
      </w:r>
      <w:proofErr w:type="spellEnd"/>
      <w:r w:rsidRPr="00AF76F5">
        <w:rPr>
          <w:i/>
        </w:rPr>
        <w:t xml:space="preserve"> v. Ashcroft</w:t>
      </w:r>
      <w:r w:rsidRPr="00AF76F5">
        <w:t>, 543 U.S. 1</w:t>
      </w:r>
      <w:r>
        <w:t>, 11 n.8 (2004)</w:t>
      </w:r>
      <w:r>
        <w:rPr>
          <w:color w:val="C00000"/>
        </w:rPr>
        <w:t xml:space="preserve"> </w:t>
      </w:r>
      <w:r>
        <w:t xml:space="preserve">(applying the rule of lenity to an immigration statute in a civil context). </w:t>
      </w:r>
      <w:r w:rsidRPr="003E46A6">
        <w:rPr>
          <w:i/>
        </w:rPr>
        <w:t>See also</w:t>
      </w:r>
      <w:r>
        <w:t xml:space="preserve"> </w:t>
      </w:r>
      <w:r w:rsidRPr="003E46A6">
        <w:rPr>
          <w:i/>
        </w:rPr>
        <w:t>United States v. Thompson/Center Arms Co</w:t>
      </w:r>
      <w:r w:rsidRPr="003E46A6">
        <w:t>., 504 U.S. 505, 517</w:t>
      </w:r>
      <w:r>
        <w:t xml:space="preserve"> (applying the rule of lenity to a tax statute in a civil setting because of criminal applications of statute). Within the Act, it is a criminal offense to infringe on copyright “for purposes of commercial advantage or private financial gain.” </w:t>
      </w:r>
      <w:proofErr w:type="gramStart"/>
      <w:r>
        <w:t>17 U.S.C. § 506(a)(1)(A)</w:t>
      </w:r>
      <w:r w:rsidR="000B23B9">
        <w:t>.</w:t>
      </w:r>
      <w:proofErr w:type="gramEnd"/>
      <w:r>
        <w:t xml:space="preserve"> Criminal penalties for copyright infringement include prison time and fines. </w:t>
      </w:r>
      <w:proofErr w:type="gramStart"/>
      <w:r>
        <w:t>17 U.S.C. § 2319(b).</w:t>
      </w:r>
      <w:proofErr w:type="gramEnd"/>
      <w:r>
        <w:t xml:space="preserve"> If the text of the statute and the legislative history does not give a clear answer to this issue, the court should follow Supreme Court precedent and resolve the ambiguity in favor of </w:t>
      </w:r>
      <w:r w:rsidR="002A6C5A">
        <w:t>Defendant</w:t>
      </w:r>
      <w:r>
        <w:t xml:space="preserve"> by finding that the writing must be signed before the creation of the work. </w:t>
      </w:r>
    </w:p>
    <w:p w14:paraId="36F384B6" w14:textId="77777777" w:rsidR="007E6694" w:rsidRDefault="007E6694" w:rsidP="007E6694"/>
    <w:p w14:paraId="2193FFE4" w14:textId="77777777" w:rsidR="00051AFF" w:rsidRDefault="00051AFF" w:rsidP="00051AFF">
      <w:pPr>
        <w:pStyle w:val="ListParagraph"/>
        <w:ind w:left="0" w:firstLine="720"/>
        <w:jc w:val="center"/>
        <w:rPr>
          <w:b/>
        </w:rPr>
      </w:pPr>
      <w:r>
        <w:rPr>
          <w:b/>
        </w:rPr>
        <w:t>CONCLUSION</w:t>
      </w:r>
    </w:p>
    <w:p w14:paraId="45CCA27F" w14:textId="7119A24B" w:rsidR="00051AFF" w:rsidRPr="00051AFF" w:rsidRDefault="00051AFF" w:rsidP="00051AFF">
      <w:pPr>
        <w:pStyle w:val="ListParagraph"/>
        <w:ind w:left="0" w:firstLine="720"/>
      </w:pPr>
      <w:r>
        <w:t xml:space="preserve">For all of the above reasons, the court should grant </w:t>
      </w:r>
      <w:r w:rsidR="002A6C5A">
        <w:t>Defendant</w:t>
      </w:r>
      <w:r>
        <w:t xml:space="preserve">’s motion to dismiss pursuant to F.R.C.P. 12(b)(6). </w:t>
      </w:r>
      <w:r w:rsidR="002A6C5A">
        <w:t>Plaintiff</w:t>
      </w:r>
      <w:r>
        <w:t>s did not comply with the writing requirement of § 101(b) of the Copyright Act of 1976</w:t>
      </w:r>
      <w:r w:rsidR="00641E9D">
        <w:t>,</w:t>
      </w:r>
      <w:r w:rsidR="0002450E">
        <w:t xml:space="preserve"> because the </w:t>
      </w:r>
      <w:r w:rsidR="00641E9D">
        <w:t>agreement</w:t>
      </w:r>
      <w:r w:rsidR="0002450E">
        <w:t xml:space="preserve"> was executed after the work was created. Therefore, Elizabeth Lime’s screenplay cannot be considered a </w:t>
      </w:r>
      <w:r w:rsidR="00BF2D28">
        <w:t>work made for hire</w:t>
      </w:r>
      <w:r w:rsidR="0002450E">
        <w:t xml:space="preserve">, and she is the owner of the copyright. Based on the plain language of the statute, the legislative history, and policy concerns, a </w:t>
      </w:r>
      <w:r w:rsidR="00BF2D28">
        <w:t>work made for hire</w:t>
      </w:r>
      <w:r w:rsidR="0002450E">
        <w:t xml:space="preserve"> agreement must be signed before the creation of a work </w:t>
      </w:r>
      <w:r w:rsidR="00A21D29">
        <w:t>in order to fulfill the requirements of § 101(2) of the Copyright Act of 1976.</w:t>
      </w:r>
    </w:p>
    <w:p w14:paraId="5682C5B7" w14:textId="5630F9BA" w:rsidR="006B1AF2" w:rsidRDefault="00243546" w:rsidP="006B1AF2">
      <w:pPr>
        <w:pStyle w:val="Normal1"/>
        <w:jc w:val="both"/>
      </w:pPr>
      <w:r>
        <w:rPr>
          <w:b/>
        </w:rPr>
        <w:tab/>
      </w:r>
      <w:r w:rsidR="006B1AF2">
        <w:rPr>
          <w:rStyle w:val="normalchar"/>
        </w:rPr>
        <w:t>Dated: </w:t>
      </w:r>
      <w:r w:rsidR="004B50DB">
        <w:rPr>
          <w:rStyle w:val="normalchar"/>
        </w:rPr>
        <w:t xml:space="preserve"> March </w:t>
      </w:r>
      <w:r w:rsidR="00163DCC">
        <w:rPr>
          <w:rStyle w:val="normalchar"/>
        </w:rPr>
        <w:t>22</w:t>
      </w:r>
      <w:r w:rsidR="004B50DB">
        <w:rPr>
          <w:rStyle w:val="normalchar"/>
        </w:rPr>
        <w:t>, 2012</w:t>
      </w:r>
      <w:r w:rsidR="006B1AF2">
        <w:rPr>
          <w:rStyle w:val="normalchar"/>
        </w:rPr>
        <w:t>    </w:t>
      </w:r>
      <w:r w:rsidR="004B50DB">
        <w:rPr>
          <w:rStyle w:val="normalchar"/>
        </w:rPr>
        <w:tab/>
      </w:r>
      <w:r w:rsidR="004B50DB">
        <w:rPr>
          <w:rStyle w:val="normalchar"/>
        </w:rPr>
        <w:tab/>
      </w:r>
      <w:r w:rsidR="004B50DB">
        <w:rPr>
          <w:rStyle w:val="normalchar"/>
        </w:rPr>
        <w:tab/>
      </w:r>
      <w:r w:rsidR="004B50DB">
        <w:rPr>
          <w:rStyle w:val="normalchar"/>
        </w:rPr>
        <w:tab/>
      </w:r>
      <w:r w:rsidR="004B50DB">
        <w:rPr>
          <w:rStyle w:val="normalchar"/>
        </w:rPr>
        <w:tab/>
      </w:r>
      <w:r w:rsidR="006B1AF2">
        <w:rPr>
          <w:rStyle w:val="normalchar"/>
        </w:rPr>
        <w:t>Respectfully submitted,</w:t>
      </w:r>
    </w:p>
    <w:p w14:paraId="114898E7" w14:textId="1925BC4D" w:rsidR="00607DFE" w:rsidRPr="00F05453" w:rsidRDefault="006B1AF2" w:rsidP="00184E46">
      <w:pPr>
        <w:pStyle w:val="Normal1"/>
      </w:pPr>
      <w:r>
        <w:t> </w:t>
      </w:r>
      <w:r>
        <w:rPr>
          <w:rStyle w:val="normalchar"/>
        </w:rPr>
        <w:tab/>
      </w:r>
      <w:r>
        <w:rPr>
          <w:rStyle w:val="normalchar"/>
        </w:rPr>
        <w:tab/>
      </w:r>
      <w:r>
        <w:rPr>
          <w:rStyle w:val="normalchar"/>
        </w:rPr>
        <w:tab/>
      </w:r>
      <w:r>
        <w:rPr>
          <w:rStyle w:val="normalchar"/>
        </w:rPr>
        <w:tab/>
      </w:r>
      <w:r>
        <w:rPr>
          <w:rStyle w:val="normalchar"/>
        </w:rPr>
        <w:tab/>
      </w:r>
      <w:r>
        <w:rPr>
          <w:rStyle w:val="normalchar"/>
        </w:rPr>
        <w:tab/>
      </w:r>
      <w:r>
        <w:rPr>
          <w:rStyle w:val="normalchar"/>
        </w:rPr>
        <w:tab/>
      </w:r>
      <w:r>
        <w:rPr>
          <w:rStyle w:val="normalchar"/>
        </w:rPr>
        <w:tab/>
      </w:r>
      <w:r>
        <w:rPr>
          <w:rStyle w:val="normalchar"/>
        </w:rPr>
        <w:tab/>
      </w:r>
      <w:bookmarkStart w:id="0" w:name="_GoBack"/>
      <w:bookmarkEnd w:id="0"/>
      <w:r w:rsidR="00184E46">
        <w:t>&lt;redacted&gt;&lt;/redacted&gt;</w:t>
      </w:r>
    </w:p>
    <w:sectPr w:rsidR="00607DFE" w:rsidRPr="00F0545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493D0" w14:textId="77777777" w:rsidR="00615F83" w:rsidRDefault="00615F83" w:rsidP="00415D2A">
      <w:pPr>
        <w:spacing w:line="240" w:lineRule="auto"/>
      </w:pPr>
      <w:r>
        <w:separator/>
      </w:r>
    </w:p>
  </w:endnote>
  <w:endnote w:type="continuationSeparator" w:id="0">
    <w:p w14:paraId="6F0F58C3" w14:textId="77777777" w:rsidR="00615F83" w:rsidRDefault="00615F83" w:rsidP="00415D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605972"/>
      <w:docPartObj>
        <w:docPartGallery w:val="Page Numbers (Bottom of Page)"/>
        <w:docPartUnique/>
      </w:docPartObj>
    </w:sdtPr>
    <w:sdtEndPr>
      <w:rPr>
        <w:noProof/>
      </w:rPr>
    </w:sdtEndPr>
    <w:sdtContent>
      <w:p w14:paraId="53A90E98" w14:textId="77777777" w:rsidR="00415D2A" w:rsidRDefault="00415D2A">
        <w:pPr>
          <w:pStyle w:val="Footer"/>
          <w:jc w:val="right"/>
        </w:pPr>
        <w:r>
          <w:fldChar w:fldCharType="begin"/>
        </w:r>
        <w:r>
          <w:instrText xml:space="preserve"> PAGE   \* MERGEFORMAT </w:instrText>
        </w:r>
        <w:r>
          <w:fldChar w:fldCharType="separate"/>
        </w:r>
        <w:r w:rsidR="00184E46">
          <w:rPr>
            <w:noProof/>
          </w:rPr>
          <w:t>1</w:t>
        </w:r>
        <w:r>
          <w:rPr>
            <w:noProof/>
          </w:rPr>
          <w:fldChar w:fldCharType="end"/>
        </w:r>
      </w:p>
    </w:sdtContent>
  </w:sdt>
  <w:p w14:paraId="17A1AC92" w14:textId="77777777" w:rsidR="00415D2A" w:rsidRDefault="00415D2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F53EC" w14:textId="77777777" w:rsidR="00615F83" w:rsidRDefault="00615F83" w:rsidP="00415D2A">
      <w:pPr>
        <w:spacing w:line="240" w:lineRule="auto"/>
      </w:pPr>
      <w:r>
        <w:separator/>
      </w:r>
    </w:p>
  </w:footnote>
  <w:footnote w:type="continuationSeparator" w:id="0">
    <w:p w14:paraId="29A35FBA" w14:textId="77777777" w:rsidR="00615F83" w:rsidRDefault="00615F83" w:rsidP="00415D2A">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3623"/>
    <w:multiLevelType w:val="hybridMultilevel"/>
    <w:tmpl w:val="521083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F97"/>
    <w:multiLevelType w:val="hybridMultilevel"/>
    <w:tmpl w:val="57EEDCE2"/>
    <w:lvl w:ilvl="0" w:tplc="3F82C6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CAB02EA"/>
    <w:multiLevelType w:val="hybridMultilevel"/>
    <w:tmpl w:val="CF2E92B6"/>
    <w:lvl w:ilvl="0" w:tplc="209E97B0">
      <w:start w:val="3337"/>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D3B7EB5"/>
    <w:multiLevelType w:val="hybridMultilevel"/>
    <w:tmpl w:val="219E1D26"/>
    <w:lvl w:ilvl="0" w:tplc="3D680E9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629526E"/>
    <w:multiLevelType w:val="hybridMultilevel"/>
    <w:tmpl w:val="C06EE9CA"/>
    <w:lvl w:ilvl="0" w:tplc="95F8D6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6BD71B1"/>
    <w:multiLevelType w:val="hybridMultilevel"/>
    <w:tmpl w:val="D6CAA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210D33"/>
    <w:multiLevelType w:val="hybridMultilevel"/>
    <w:tmpl w:val="BE0A02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B445A9"/>
    <w:multiLevelType w:val="hybridMultilevel"/>
    <w:tmpl w:val="F6387412"/>
    <w:lvl w:ilvl="0" w:tplc="EA069D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253F09"/>
    <w:multiLevelType w:val="hybridMultilevel"/>
    <w:tmpl w:val="665EBA90"/>
    <w:lvl w:ilvl="0" w:tplc="BDE0CE2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
  </w:num>
  <w:num w:numId="2">
    <w:abstractNumId w:val="8"/>
  </w:num>
  <w:num w:numId="3">
    <w:abstractNumId w:val="4"/>
  </w:num>
  <w:num w:numId="4">
    <w:abstractNumId w:val="6"/>
  </w:num>
  <w:num w:numId="5">
    <w:abstractNumId w:val="3"/>
  </w:num>
  <w:num w:numId="6">
    <w:abstractNumId w:val="2"/>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546"/>
    <w:rsid w:val="00001B61"/>
    <w:rsid w:val="000040FC"/>
    <w:rsid w:val="00012252"/>
    <w:rsid w:val="0002450E"/>
    <w:rsid w:val="000338B2"/>
    <w:rsid w:val="00033C92"/>
    <w:rsid w:val="00036444"/>
    <w:rsid w:val="00051AFF"/>
    <w:rsid w:val="0005443E"/>
    <w:rsid w:val="000657CD"/>
    <w:rsid w:val="000672B7"/>
    <w:rsid w:val="00092193"/>
    <w:rsid w:val="00096E80"/>
    <w:rsid w:val="000B23B9"/>
    <w:rsid w:val="000C64F6"/>
    <w:rsid w:val="000D7F77"/>
    <w:rsid w:val="000E12B1"/>
    <w:rsid w:val="000F2B05"/>
    <w:rsid w:val="0010064E"/>
    <w:rsid w:val="00102E6E"/>
    <w:rsid w:val="0011212D"/>
    <w:rsid w:val="0014127A"/>
    <w:rsid w:val="00160055"/>
    <w:rsid w:val="0016097F"/>
    <w:rsid w:val="00163DCC"/>
    <w:rsid w:val="00175766"/>
    <w:rsid w:val="00184E46"/>
    <w:rsid w:val="001868FD"/>
    <w:rsid w:val="001929CE"/>
    <w:rsid w:val="00197308"/>
    <w:rsid w:val="001C6B3D"/>
    <w:rsid w:val="001E3CEC"/>
    <w:rsid w:val="001F5215"/>
    <w:rsid w:val="00215EB1"/>
    <w:rsid w:val="0023072C"/>
    <w:rsid w:val="00243546"/>
    <w:rsid w:val="00253C15"/>
    <w:rsid w:val="00256704"/>
    <w:rsid w:val="00257408"/>
    <w:rsid w:val="00257434"/>
    <w:rsid w:val="00262C38"/>
    <w:rsid w:val="002747BB"/>
    <w:rsid w:val="0028299B"/>
    <w:rsid w:val="002866D7"/>
    <w:rsid w:val="002A2E55"/>
    <w:rsid w:val="002A312C"/>
    <w:rsid w:val="002A5BBA"/>
    <w:rsid w:val="002A67DD"/>
    <w:rsid w:val="002A6C5A"/>
    <w:rsid w:val="002C1FC9"/>
    <w:rsid w:val="002C7ED0"/>
    <w:rsid w:val="002D0D86"/>
    <w:rsid w:val="002E6C55"/>
    <w:rsid w:val="002F1FC3"/>
    <w:rsid w:val="00311D55"/>
    <w:rsid w:val="00317952"/>
    <w:rsid w:val="003347CB"/>
    <w:rsid w:val="0033688D"/>
    <w:rsid w:val="00337C6C"/>
    <w:rsid w:val="00340308"/>
    <w:rsid w:val="00340F05"/>
    <w:rsid w:val="0035248E"/>
    <w:rsid w:val="00355B2B"/>
    <w:rsid w:val="00362C75"/>
    <w:rsid w:val="003663AC"/>
    <w:rsid w:val="00381AF8"/>
    <w:rsid w:val="00392D30"/>
    <w:rsid w:val="003A10C0"/>
    <w:rsid w:val="003A3710"/>
    <w:rsid w:val="003D59DB"/>
    <w:rsid w:val="003D5B72"/>
    <w:rsid w:val="003E46A6"/>
    <w:rsid w:val="00415D2A"/>
    <w:rsid w:val="00427C88"/>
    <w:rsid w:val="00451474"/>
    <w:rsid w:val="004557F9"/>
    <w:rsid w:val="00470381"/>
    <w:rsid w:val="00471D98"/>
    <w:rsid w:val="00490EA2"/>
    <w:rsid w:val="004A6086"/>
    <w:rsid w:val="004B50DB"/>
    <w:rsid w:val="004B6435"/>
    <w:rsid w:val="004C3C70"/>
    <w:rsid w:val="004D589A"/>
    <w:rsid w:val="00500542"/>
    <w:rsid w:val="005107C9"/>
    <w:rsid w:val="00522989"/>
    <w:rsid w:val="005261D4"/>
    <w:rsid w:val="00532323"/>
    <w:rsid w:val="0053362C"/>
    <w:rsid w:val="00545B2A"/>
    <w:rsid w:val="005540EE"/>
    <w:rsid w:val="00554F50"/>
    <w:rsid w:val="00555A2A"/>
    <w:rsid w:val="00577075"/>
    <w:rsid w:val="00581CE2"/>
    <w:rsid w:val="005A3A2D"/>
    <w:rsid w:val="005A670E"/>
    <w:rsid w:val="005B52B1"/>
    <w:rsid w:val="005C5AE8"/>
    <w:rsid w:val="005D2CBD"/>
    <w:rsid w:val="005E658A"/>
    <w:rsid w:val="00607DFE"/>
    <w:rsid w:val="006143FF"/>
    <w:rsid w:val="00615F83"/>
    <w:rsid w:val="00637A65"/>
    <w:rsid w:val="00641E9D"/>
    <w:rsid w:val="006552A7"/>
    <w:rsid w:val="00655CBF"/>
    <w:rsid w:val="00661E82"/>
    <w:rsid w:val="00664C7E"/>
    <w:rsid w:val="00667A4E"/>
    <w:rsid w:val="00670CB8"/>
    <w:rsid w:val="00671E7F"/>
    <w:rsid w:val="00684614"/>
    <w:rsid w:val="006B1AF2"/>
    <w:rsid w:val="006D58E6"/>
    <w:rsid w:val="006E050B"/>
    <w:rsid w:val="006E1418"/>
    <w:rsid w:val="006E1956"/>
    <w:rsid w:val="00724AAF"/>
    <w:rsid w:val="007266BB"/>
    <w:rsid w:val="00731FF9"/>
    <w:rsid w:val="0074347F"/>
    <w:rsid w:val="00743B73"/>
    <w:rsid w:val="00754D6E"/>
    <w:rsid w:val="007550A0"/>
    <w:rsid w:val="00765AB2"/>
    <w:rsid w:val="0078262D"/>
    <w:rsid w:val="007A3889"/>
    <w:rsid w:val="007A6AEF"/>
    <w:rsid w:val="007C7069"/>
    <w:rsid w:val="007D01A1"/>
    <w:rsid w:val="007E6694"/>
    <w:rsid w:val="007F492C"/>
    <w:rsid w:val="00801EED"/>
    <w:rsid w:val="008228C8"/>
    <w:rsid w:val="00823F85"/>
    <w:rsid w:val="0083538D"/>
    <w:rsid w:val="00837028"/>
    <w:rsid w:val="0085756E"/>
    <w:rsid w:val="0088666E"/>
    <w:rsid w:val="00890FE3"/>
    <w:rsid w:val="00894F90"/>
    <w:rsid w:val="00895D99"/>
    <w:rsid w:val="008B2182"/>
    <w:rsid w:val="008B6E09"/>
    <w:rsid w:val="008C09F4"/>
    <w:rsid w:val="008C6303"/>
    <w:rsid w:val="008C7D45"/>
    <w:rsid w:val="008D6CA2"/>
    <w:rsid w:val="008E7D8F"/>
    <w:rsid w:val="00900752"/>
    <w:rsid w:val="00927BAE"/>
    <w:rsid w:val="00942AC3"/>
    <w:rsid w:val="009517E0"/>
    <w:rsid w:val="009542B1"/>
    <w:rsid w:val="0096120B"/>
    <w:rsid w:val="00965515"/>
    <w:rsid w:val="00975FF0"/>
    <w:rsid w:val="00982739"/>
    <w:rsid w:val="0098407A"/>
    <w:rsid w:val="0098497E"/>
    <w:rsid w:val="0099281B"/>
    <w:rsid w:val="00995AED"/>
    <w:rsid w:val="009B5954"/>
    <w:rsid w:val="009D584B"/>
    <w:rsid w:val="009D79E2"/>
    <w:rsid w:val="009E5FC7"/>
    <w:rsid w:val="009F12FF"/>
    <w:rsid w:val="009F7B4D"/>
    <w:rsid w:val="00A0213B"/>
    <w:rsid w:val="00A078DA"/>
    <w:rsid w:val="00A207C8"/>
    <w:rsid w:val="00A21D29"/>
    <w:rsid w:val="00A2354D"/>
    <w:rsid w:val="00A415FD"/>
    <w:rsid w:val="00A42758"/>
    <w:rsid w:val="00A429C4"/>
    <w:rsid w:val="00A431BA"/>
    <w:rsid w:val="00A57717"/>
    <w:rsid w:val="00A65C3C"/>
    <w:rsid w:val="00A67614"/>
    <w:rsid w:val="00A82A48"/>
    <w:rsid w:val="00AC01CF"/>
    <w:rsid w:val="00AD5A1A"/>
    <w:rsid w:val="00AF76F5"/>
    <w:rsid w:val="00B00E52"/>
    <w:rsid w:val="00B01D21"/>
    <w:rsid w:val="00B02A85"/>
    <w:rsid w:val="00B229E8"/>
    <w:rsid w:val="00B3340F"/>
    <w:rsid w:val="00B3423D"/>
    <w:rsid w:val="00B44F36"/>
    <w:rsid w:val="00B70742"/>
    <w:rsid w:val="00B735BD"/>
    <w:rsid w:val="00B7579B"/>
    <w:rsid w:val="00B90A3A"/>
    <w:rsid w:val="00B95E1D"/>
    <w:rsid w:val="00B96814"/>
    <w:rsid w:val="00BA15BC"/>
    <w:rsid w:val="00BA367D"/>
    <w:rsid w:val="00BF2D28"/>
    <w:rsid w:val="00BF34CA"/>
    <w:rsid w:val="00BF5988"/>
    <w:rsid w:val="00C0423F"/>
    <w:rsid w:val="00C24F01"/>
    <w:rsid w:val="00C30483"/>
    <w:rsid w:val="00C33FFF"/>
    <w:rsid w:val="00C3736E"/>
    <w:rsid w:val="00C61453"/>
    <w:rsid w:val="00C710BA"/>
    <w:rsid w:val="00C80471"/>
    <w:rsid w:val="00C83E60"/>
    <w:rsid w:val="00C845EC"/>
    <w:rsid w:val="00C967F4"/>
    <w:rsid w:val="00C96CAF"/>
    <w:rsid w:val="00CA2FE4"/>
    <w:rsid w:val="00CA3352"/>
    <w:rsid w:val="00CA3DF4"/>
    <w:rsid w:val="00CA4857"/>
    <w:rsid w:val="00CC4205"/>
    <w:rsid w:val="00CC5929"/>
    <w:rsid w:val="00CC70D2"/>
    <w:rsid w:val="00CD0720"/>
    <w:rsid w:val="00CE0C3C"/>
    <w:rsid w:val="00CE0F1B"/>
    <w:rsid w:val="00CE7E5B"/>
    <w:rsid w:val="00D111D1"/>
    <w:rsid w:val="00D145EA"/>
    <w:rsid w:val="00D2062C"/>
    <w:rsid w:val="00D24995"/>
    <w:rsid w:val="00D25AE0"/>
    <w:rsid w:val="00D27B30"/>
    <w:rsid w:val="00D30A45"/>
    <w:rsid w:val="00D324BB"/>
    <w:rsid w:val="00D346B1"/>
    <w:rsid w:val="00D37082"/>
    <w:rsid w:val="00D43CE2"/>
    <w:rsid w:val="00D44139"/>
    <w:rsid w:val="00D4661D"/>
    <w:rsid w:val="00D53474"/>
    <w:rsid w:val="00D55FF6"/>
    <w:rsid w:val="00D63BA6"/>
    <w:rsid w:val="00D70292"/>
    <w:rsid w:val="00D7693B"/>
    <w:rsid w:val="00D76ED4"/>
    <w:rsid w:val="00D776EB"/>
    <w:rsid w:val="00DB5865"/>
    <w:rsid w:val="00DB58F1"/>
    <w:rsid w:val="00DD73B9"/>
    <w:rsid w:val="00E04FF9"/>
    <w:rsid w:val="00E149D7"/>
    <w:rsid w:val="00E360CA"/>
    <w:rsid w:val="00E40ACA"/>
    <w:rsid w:val="00E41340"/>
    <w:rsid w:val="00E41DED"/>
    <w:rsid w:val="00E562E8"/>
    <w:rsid w:val="00E72613"/>
    <w:rsid w:val="00E74326"/>
    <w:rsid w:val="00E94911"/>
    <w:rsid w:val="00EB507B"/>
    <w:rsid w:val="00EB51ED"/>
    <w:rsid w:val="00EE4B12"/>
    <w:rsid w:val="00F0439E"/>
    <w:rsid w:val="00F05453"/>
    <w:rsid w:val="00F2346D"/>
    <w:rsid w:val="00F351E6"/>
    <w:rsid w:val="00F42273"/>
    <w:rsid w:val="00F503F0"/>
    <w:rsid w:val="00F52479"/>
    <w:rsid w:val="00F647C5"/>
    <w:rsid w:val="00F6520B"/>
    <w:rsid w:val="00F7462D"/>
    <w:rsid w:val="00F857E6"/>
    <w:rsid w:val="00F94262"/>
    <w:rsid w:val="00FA5604"/>
    <w:rsid w:val="00FA5D7F"/>
    <w:rsid w:val="00FC45DA"/>
    <w:rsid w:val="00FD1E6F"/>
    <w:rsid w:val="00FE5E6F"/>
    <w:rsid w:val="00FF1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D6C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546"/>
    <w:pPr>
      <w:spacing w:after="0" w:line="48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43546"/>
    <w:pPr>
      <w:spacing w:after="0" w:line="240" w:lineRule="auto"/>
    </w:pPr>
    <w:rPr>
      <w:rFonts w:cs="Times New Roman"/>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2435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666E"/>
    <w:pPr>
      <w:ind w:left="720"/>
      <w:contextualSpacing/>
    </w:pPr>
  </w:style>
  <w:style w:type="paragraph" w:styleId="Header">
    <w:name w:val="header"/>
    <w:basedOn w:val="Normal"/>
    <w:link w:val="HeaderChar"/>
    <w:uiPriority w:val="99"/>
    <w:unhideWhenUsed/>
    <w:rsid w:val="00415D2A"/>
    <w:pPr>
      <w:tabs>
        <w:tab w:val="center" w:pos="4680"/>
        <w:tab w:val="right" w:pos="9360"/>
      </w:tabs>
      <w:spacing w:line="240" w:lineRule="auto"/>
    </w:pPr>
  </w:style>
  <w:style w:type="character" w:customStyle="1" w:styleId="HeaderChar">
    <w:name w:val="Header Char"/>
    <w:basedOn w:val="DefaultParagraphFont"/>
    <w:link w:val="Header"/>
    <w:uiPriority w:val="99"/>
    <w:rsid w:val="00415D2A"/>
  </w:style>
  <w:style w:type="paragraph" w:styleId="Footer">
    <w:name w:val="footer"/>
    <w:basedOn w:val="Normal"/>
    <w:link w:val="FooterChar"/>
    <w:uiPriority w:val="99"/>
    <w:unhideWhenUsed/>
    <w:rsid w:val="00415D2A"/>
    <w:pPr>
      <w:tabs>
        <w:tab w:val="center" w:pos="4680"/>
        <w:tab w:val="right" w:pos="9360"/>
      </w:tabs>
      <w:spacing w:line="240" w:lineRule="auto"/>
    </w:pPr>
  </w:style>
  <w:style w:type="character" w:customStyle="1" w:styleId="FooterChar">
    <w:name w:val="Footer Char"/>
    <w:basedOn w:val="DefaultParagraphFont"/>
    <w:link w:val="Footer"/>
    <w:uiPriority w:val="99"/>
    <w:rsid w:val="00415D2A"/>
  </w:style>
  <w:style w:type="character" w:styleId="Hyperlink">
    <w:name w:val="Hyperlink"/>
    <w:basedOn w:val="DefaultParagraphFont"/>
    <w:uiPriority w:val="99"/>
    <w:unhideWhenUsed/>
    <w:rsid w:val="00BA15BC"/>
    <w:rPr>
      <w:color w:val="0000FF" w:themeColor="hyperlink"/>
      <w:u w:val="single"/>
    </w:rPr>
  </w:style>
  <w:style w:type="paragraph" w:styleId="BalloonText">
    <w:name w:val="Balloon Text"/>
    <w:basedOn w:val="Normal"/>
    <w:link w:val="BalloonTextChar"/>
    <w:uiPriority w:val="99"/>
    <w:semiHidden/>
    <w:unhideWhenUsed/>
    <w:rsid w:val="00490EA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EA2"/>
    <w:rPr>
      <w:rFonts w:ascii="Tahoma" w:hAnsi="Tahoma" w:cs="Tahoma"/>
      <w:sz w:val="16"/>
      <w:szCs w:val="16"/>
    </w:rPr>
  </w:style>
  <w:style w:type="paragraph" w:customStyle="1" w:styleId="Normal1">
    <w:name w:val="Normal1"/>
    <w:basedOn w:val="Normal"/>
    <w:rsid w:val="006B1AF2"/>
    <w:pPr>
      <w:spacing w:before="100" w:beforeAutospacing="1" w:after="100" w:afterAutospacing="1" w:line="240" w:lineRule="auto"/>
    </w:pPr>
    <w:rPr>
      <w:rFonts w:eastAsia="Times New Roman" w:cs="Times New Roman"/>
      <w:szCs w:val="24"/>
    </w:rPr>
  </w:style>
  <w:style w:type="character" w:customStyle="1" w:styleId="normalchar">
    <w:name w:val="normal__char"/>
    <w:basedOn w:val="DefaultParagraphFont"/>
    <w:rsid w:val="006B1AF2"/>
  </w:style>
  <w:style w:type="character" w:styleId="CommentReference">
    <w:name w:val="annotation reference"/>
    <w:basedOn w:val="DefaultParagraphFont"/>
    <w:uiPriority w:val="99"/>
    <w:semiHidden/>
    <w:unhideWhenUsed/>
    <w:rsid w:val="000040FC"/>
    <w:rPr>
      <w:sz w:val="16"/>
      <w:szCs w:val="16"/>
    </w:rPr>
  </w:style>
  <w:style w:type="paragraph" w:styleId="CommentText">
    <w:name w:val="annotation text"/>
    <w:basedOn w:val="Normal"/>
    <w:link w:val="CommentTextChar"/>
    <w:uiPriority w:val="99"/>
    <w:semiHidden/>
    <w:unhideWhenUsed/>
    <w:rsid w:val="000040FC"/>
    <w:pPr>
      <w:spacing w:line="240" w:lineRule="auto"/>
    </w:pPr>
    <w:rPr>
      <w:sz w:val="20"/>
      <w:szCs w:val="20"/>
    </w:rPr>
  </w:style>
  <w:style w:type="character" w:customStyle="1" w:styleId="CommentTextChar">
    <w:name w:val="Comment Text Char"/>
    <w:basedOn w:val="DefaultParagraphFont"/>
    <w:link w:val="CommentText"/>
    <w:uiPriority w:val="99"/>
    <w:semiHidden/>
    <w:rsid w:val="000040FC"/>
    <w:rPr>
      <w:sz w:val="20"/>
      <w:szCs w:val="20"/>
    </w:rPr>
  </w:style>
  <w:style w:type="paragraph" w:styleId="CommentSubject">
    <w:name w:val="annotation subject"/>
    <w:basedOn w:val="CommentText"/>
    <w:next w:val="CommentText"/>
    <w:link w:val="CommentSubjectChar"/>
    <w:uiPriority w:val="99"/>
    <w:semiHidden/>
    <w:unhideWhenUsed/>
    <w:rsid w:val="000040FC"/>
    <w:rPr>
      <w:b/>
      <w:bCs/>
    </w:rPr>
  </w:style>
  <w:style w:type="character" w:customStyle="1" w:styleId="CommentSubjectChar">
    <w:name w:val="Comment Subject Char"/>
    <w:basedOn w:val="CommentTextChar"/>
    <w:link w:val="CommentSubject"/>
    <w:uiPriority w:val="99"/>
    <w:semiHidden/>
    <w:rsid w:val="000040FC"/>
    <w:rPr>
      <w:b/>
      <w:bCs/>
      <w:sz w:val="20"/>
      <w:szCs w:val="20"/>
    </w:rPr>
  </w:style>
  <w:style w:type="character" w:customStyle="1" w:styleId="ssens">
    <w:name w:val="ssens"/>
    <w:basedOn w:val="DefaultParagraphFont"/>
    <w:rsid w:val="00FA5604"/>
  </w:style>
  <w:style w:type="character" w:customStyle="1" w:styleId="vi">
    <w:name w:val="vi"/>
    <w:basedOn w:val="DefaultParagraphFont"/>
    <w:rsid w:val="00FA5604"/>
  </w:style>
  <w:style w:type="character" w:styleId="Emphasis">
    <w:name w:val="Emphasis"/>
    <w:basedOn w:val="DefaultParagraphFont"/>
    <w:uiPriority w:val="20"/>
    <w:qFormat/>
    <w:rsid w:val="00FA5604"/>
    <w:rPr>
      <w:i/>
      <w:iCs/>
    </w:rPr>
  </w:style>
  <w:style w:type="character" w:styleId="FollowedHyperlink">
    <w:name w:val="FollowedHyperlink"/>
    <w:basedOn w:val="DefaultParagraphFont"/>
    <w:uiPriority w:val="99"/>
    <w:semiHidden/>
    <w:unhideWhenUsed/>
    <w:rsid w:val="00637A65"/>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546"/>
    <w:pPr>
      <w:spacing w:after="0" w:line="48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43546"/>
    <w:pPr>
      <w:spacing w:after="0" w:line="240" w:lineRule="auto"/>
    </w:pPr>
    <w:rPr>
      <w:rFonts w:cs="Times New Roman"/>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2435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666E"/>
    <w:pPr>
      <w:ind w:left="720"/>
      <w:contextualSpacing/>
    </w:pPr>
  </w:style>
  <w:style w:type="paragraph" w:styleId="Header">
    <w:name w:val="header"/>
    <w:basedOn w:val="Normal"/>
    <w:link w:val="HeaderChar"/>
    <w:uiPriority w:val="99"/>
    <w:unhideWhenUsed/>
    <w:rsid w:val="00415D2A"/>
    <w:pPr>
      <w:tabs>
        <w:tab w:val="center" w:pos="4680"/>
        <w:tab w:val="right" w:pos="9360"/>
      </w:tabs>
      <w:spacing w:line="240" w:lineRule="auto"/>
    </w:pPr>
  </w:style>
  <w:style w:type="character" w:customStyle="1" w:styleId="HeaderChar">
    <w:name w:val="Header Char"/>
    <w:basedOn w:val="DefaultParagraphFont"/>
    <w:link w:val="Header"/>
    <w:uiPriority w:val="99"/>
    <w:rsid w:val="00415D2A"/>
  </w:style>
  <w:style w:type="paragraph" w:styleId="Footer">
    <w:name w:val="footer"/>
    <w:basedOn w:val="Normal"/>
    <w:link w:val="FooterChar"/>
    <w:uiPriority w:val="99"/>
    <w:unhideWhenUsed/>
    <w:rsid w:val="00415D2A"/>
    <w:pPr>
      <w:tabs>
        <w:tab w:val="center" w:pos="4680"/>
        <w:tab w:val="right" w:pos="9360"/>
      </w:tabs>
      <w:spacing w:line="240" w:lineRule="auto"/>
    </w:pPr>
  </w:style>
  <w:style w:type="character" w:customStyle="1" w:styleId="FooterChar">
    <w:name w:val="Footer Char"/>
    <w:basedOn w:val="DefaultParagraphFont"/>
    <w:link w:val="Footer"/>
    <w:uiPriority w:val="99"/>
    <w:rsid w:val="00415D2A"/>
  </w:style>
  <w:style w:type="character" w:styleId="Hyperlink">
    <w:name w:val="Hyperlink"/>
    <w:basedOn w:val="DefaultParagraphFont"/>
    <w:uiPriority w:val="99"/>
    <w:unhideWhenUsed/>
    <w:rsid w:val="00BA15BC"/>
    <w:rPr>
      <w:color w:val="0000FF" w:themeColor="hyperlink"/>
      <w:u w:val="single"/>
    </w:rPr>
  </w:style>
  <w:style w:type="paragraph" w:styleId="BalloonText">
    <w:name w:val="Balloon Text"/>
    <w:basedOn w:val="Normal"/>
    <w:link w:val="BalloonTextChar"/>
    <w:uiPriority w:val="99"/>
    <w:semiHidden/>
    <w:unhideWhenUsed/>
    <w:rsid w:val="00490EA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EA2"/>
    <w:rPr>
      <w:rFonts w:ascii="Tahoma" w:hAnsi="Tahoma" w:cs="Tahoma"/>
      <w:sz w:val="16"/>
      <w:szCs w:val="16"/>
    </w:rPr>
  </w:style>
  <w:style w:type="paragraph" w:customStyle="1" w:styleId="Normal1">
    <w:name w:val="Normal1"/>
    <w:basedOn w:val="Normal"/>
    <w:rsid w:val="006B1AF2"/>
    <w:pPr>
      <w:spacing w:before="100" w:beforeAutospacing="1" w:after="100" w:afterAutospacing="1" w:line="240" w:lineRule="auto"/>
    </w:pPr>
    <w:rPr>
      <w:rFonts w:eastAsia="Times New Roman" w:cs="Times New Roman"/>
      <w:szCs w:val="24"/>
    </w:rPr>
  </w:style>
  <w:style w:type="character" w:customStyle="1" w:styleId="normalchar">
    <w:name w:val="normal__char"/>
    <w:basedOn w:val="DefaultParagraphFont"/>
    <w:rsid w:val="006B1AF2"/>
  </w:style>
  <w:style w:type="character" w:styleId="CommentReference">
    <w:name w:val="annotation reference"/>
    <w:basedOn w:val="DefaultParagraphFont"/>
    <w:uiPriority w:val="99"/>
    <w:semiHidden/>
    <w:unhideWhenUsed/>
    <w:rsid w:val="000040FC"/>
    <w:rPr>
      <w:sz w:val="16"/>
      <w:szCs w:val="16"/>
    </w:rPr>
  </w:style>
  <w:style w:type="paragraph" w:styleId="CommentText">
    <w:name w:val="annotation text"/>
    <w:basedOn w:val="Normal"/>
    <w:link w:val="CommentTextChar"/>
    <w:uiPriority w:val="99"/>
    <w:semiHidden/>
    <w:unhideWhenUsed/>
    <w:rsid w:val="000040FC"/>
    <w:pPr>
      <w:spacing w:line="240" w:lineRule="auto"/>
    </w:pPr>
    <w:rPr>
      <w:sz w:val="20"/>
      <w:szCs w:val="20"/>
    </w:rPr>
  </w:style>
  <w:style w:type="character" w:customStyle="1" w:styleId="CommentTextChar">
    <w:name w:val="Comment Text Char"/>
    <w:basedOn w:val="DefaultParagraphFont"/>
    <w:link w:val="CommentText"/>
    <w:uiPriority w:val="99"/>
    <w:semiHidden/>
    <w:rsid w:val="000040FC"/>
    <w:rPr>
      <w:sz w:val="20"/>
      <w:szCs w:val="20"/>
    </w:rPr>
  </w:style>
  <w:style w:type="paragraph" w:styleId="CommentSubject">
    <w:name w:val="annotation subject"/>
    <w:basedOn w:val="CommentText"/>
    <w:next w:val="CommentText"/>
    <w:link w:val="CommentSubjectChar"/>
    <w:uiPriority w:val="99"/>
    <w:semiHidden/>
    <w:unhideWhenUsed/>
    <w:rsid w:val="000040FC"/>
    <w:rPr>
      <w:b/>
      <w:bCs/>
    </w:rPr>
  </w:style>
  <w:style w:type="character" w:customStyle="1" w:styleId="CommentSubjectChar">
    <w:name w:val="Comment Subject Char"/>
    <w:basedOn w:val="CommentTextChar"/>
    <w:link w:val="CommentSubject"/>
    <w:uiPriority w:val="99"/>
    <w:semiHidden/>
    <w:rsid w:val="000040FC"/>
    <w:rPr>
      <w:b/>
      <w:bCs/>
      <w:sz w:val="20"/>
      <w:szCs w:val="20"/>
    </w:rPr>
  </w:style>
  <w:style w:type="character" w:customStyle="1" w:styleId="ssens">
    <w:name w:val="ssens"/>
    <w:basedOn w:val="DefaultParagraphFont"/>
    <w:rsid w:val="00FA5604"/>
  </w:style>
  <w:style w:type="character" w:customStyle="1" w:styleId="vi">
    <w:name w:val="vi"/>
    <w:basedOn w:val="DefaultParagraphFont"/>
    <w:rsid w:val="00FA5604"/>
  </w:style>
  <w:style w:type="character" w:styleId="Emphasis">
    <w:name w:val="Emphasis"/>
    <w:basedOn w:val="DefaultParagraphFont"/>
    <w:uiPriority w:val="20"/>
    <w:qFormat/>
    <w:rsid w:val="00FA5604"/>
    <w:rPr>
      <w:i/>
      <w:iCs/>
    </w:rPr>
  </w:style>
  <w:style w:type="character" w:styleId="FollowedHyperlink">
    <w:name w:val="FollowedHyperlink"/>
    <w:basedOn w:val="DefaultParagraphFont"/>
    <w:uiPriority w:val="99"/>
    <w:semiHidden/>
    <w:unhideWhenUsed/>
    <w:rsid w:val="00637A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645263">
      <w:bodyDiv w:val="1"/>
      <w:marLeft w:val="0"/>
      <w:marRight w:val="0"/>
      <w:marTop w:val="0"/>
      <w:marBottom w:val="0"/>
      <w:divBdr>
        <w:top w:val="none" w:sz="0" w:space="0" w:color="auto"/>
        <w:left w:val="none" w:sz="0" w:space="0" w:color="auto"/>
        <w:bottom w:val="none" w:sz="0" w:space="0" w:color="auto"/>
        <w:right w:val="none" w:sz="0" w:space="0" w:color="auto"/>
      </w:divBdr>
    </w:div>
    <w:div w:id="851798421">
      <w:bodyDiv w:val="1"/>
      <w:marLeft w:val="0"/>
      <w:marRight w:val="0"/>
      <w:marTop w:val="0"/>
      <w:marBottom w:val="0"/>
      <w:divBdr>
        <w:top w:val="none" w:sz="0" w:space="0" w:color="auto"/>
        <w:left w:val="none" w:sz="0" w:space="0" w:color="auto"/>
        <w:bottom w:val="none" w:sz="0" w:space="0" w:color="auto"/>
        <w:right w:val="none" w:sz="0" w:space="0" w:color="auto"/>
      </w:divBdr>
      <w:divsChild>
        <w:div w:id="1224832516">
          <w:marLeft w:val="0"/>
          <w:marRight w:val="0"/>
          <w:marTop w:val="0"/>
          <w:marBottom w:val="0"/>
          <w:divBdr>
            <w:top w:val="none" w:sz="0" w:space="0" w:color="auto"/>
            <w:left w:val="none" w:sz="0" w:space="0" w:color="auto"/>
            <w:bottom w:val="none" w:sz="0" w:space="0" w:color="auto"/>
            <w:right w:val="none" w:sz="0" w:space="0" w:color="auto"/>
          </w:divBdr>
        </w:div>
      </w:divsChild>
    </w:div>
    <w:div w:id="1008944880">
      <w:bodyDiv w:val="1"/>
      <w:marLeft w:val="0"/>
      <w:marRight w:val="0"/>
      <w:marTop w:val="0"/>
      <w:marBottom w:val="0"/>
      <w:divBdr>
        <w:top w:val="none" w:sz="0" w:space="0" w:color="auto"/>
        <w:left w:val="none" w:sz="0" w:space="0" w:color="auto"/>
        <w:bottom w:val="none" w:sz="0" w:space="0" w:color="auto"/>
        <w:right w:val="none" w:sz="0" w:space="0" w:color="auto"/>
      </w:divBdr>
    </w:div>
    <w:div w:id="1041173964">
      <w:bodyDiv w:val="1"/>
      <w:marLeft w:val="0"/>
      <w:marRight w:val="0"/>
      <w:marTop w:val="0"/>
      <w:marBottom w:val="0"/>
      <w:divBdr>
        <w:top w:val="none" w:sz="0" w:space="0" w:color="auto"/>
        <w:left w:val="none" w:sz="0" w:space="0" w:color="auto"/>
        <w:bottom w:val="none" w:sz="0" w:space="0" w:color="auto"/>
        <w:right w:val="none" w:sz="0" w:space="0" w:color="auto"/>
      </w:divBdr>
    </w:div>
    <w:div w:id="1372419479">
      <w:bodyDiv w:val="1"/>
      <w:marLeft w:val="0"/>
      <w:marRight w:val="0"/>
      <w:marTop w:val="0"/>
      <w:marBottom w:val="0"/>
      <w:divBdr>
        <w:top w:val="none" w:sz="0" w:space="0" w:color="auto"/>
        <w:left w:val="none" w:sz="0" w:space="0" w:color="auto"/>
        <w:bottom w:val="none" w:sz="0" w:space="0" w:color="auto"/>
        <w:right w:val="none" w:sz="0" w:space="0" w:color="auto"/>
      </w:divBdr>
    </w:div>
    <w:div w:id="1577520163">
      <w:bodyDiv w:val="1"/>
      <w:marLeft w:val="0"/>
      <w:marRight w:val="0"/>
      <w:marTop w:val="0"/>
      <w:marBottom w:val="0"/>
      <w:divBdr>
        <w:top w:val="none" w:sz="0" w:space="0" w:color="auto"/>
        <w:left w:val="none" w:sz="0" w:space="0" w:color="auto"/>
        <w:bottom w:val="none" w:sz="0" w:space="0" w:color="auto"/>
        <w:right w:val="none" w:sz="0" w:space="0" w:color="auto"/>
      </w:divBdr>
    </w:div>
    <w:div w:id="20298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4177</Words>
  <Characters>21604</Characters>
  <Application>Microsoft Macintosh Word</Application>
  <DocSecurity>0</DocSecurity>
  <Lines>327</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2012-03-21T20:27:00Z</cp:lastPrinted>
  <dcterms:created xsi:type="dcterms:W3CDTF">2012-04-15T14:05:00Z</dcterms:created>
  <dcterms:modified xsi:type="dcterms:W3CDTF">2012-06-02T13:15:00Z</dcterms:modified>
  <cp:category/>
</cp:coreProperties>
</file>